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FC" w:rsidRPr="00E95865" w:rsidRDefault="0078327D" w:rsidP="0078327D">
      <w:pPr>
        <w:jc w:val="center"/>
        <w:rPr>
          <w:b/>
          <w:sz w:val="18"/>
          <w:szCs w:val="18"/>
        </w:rPr>
      </w:pPr>
      <w:r w:rsidRPr="00E95865">
        <w:rPr>
          <w:b/>
          <w:sz w:val="18"/>
          <w:szCs w:val="18"/>
        </w:rPr>
        <w:t>ETSU Graduate Medical Education Policies</w:t>
      </w:r>
    </w:p>
    <w:tbl>
      <w:tblPr>
        <w:tblStyle w:val="TableGrid"/>
        <w:tblW w:w="0" w:type="auto"/>
        <w:tblLook w:val="0640" w:firstRow="0" w:lastRow="1" w:firstColumn="0" w:lastColumn="0" w:noHBand="1" w:noVBand="1"/>
      </w:tblPr>
      <w:tblGrid>
        <w:gridCol w:w="4675"/>
        <w:gridCol w:w="4675"/>
      </w:tblGrid>
      <w:tr w:rsidR="0078327D" w:rsidTr="0078327D">
        <w:tc>
          <w:tcPr>
            <w:tcW w:w="4675" w:type="dxa"/>
          </w:tcPr>
          <w:p w:rsidR="0078327D" w:rsidRPr="00E95865" w:rsidRDefault="0078327D" w:rsidP="00B4486A">
            <w:pPr>
              <w:rPr>
                <w:sz w:val="18"/>
                <w:szCs w:val="18"/>
              </w:rPr>
            </w:pPr>
            <w:r w:rsidRPr="00E95865">
              <w:rPr>
                <w:sz w:val="18"/>
                <w:szCs w:val="18"/>
              </w:rPr>
              <w:t xml:space="preserve">Section    </w:t>
            </w:r>
            <w:r w:rsidR="006907AA">
              <w:rPr>
                <w:sz w:val="18"/>
                <w:szCs w:val="18"/>
              </w:rPr>
              <w:t xml:space="preserve">   </w:t>
            </w:r>
            <w:r w:rsidR="00B4486A">
              <w:rPr>
                <w:sz w:val="18"/>
                <w:szCs w:val="18"/>
              </w:rPr>
              <w:t>Program Policies &amp; Procedures</w:t>
            </w:r>
            <w:r w:rsidR="006907AA">
              <w:rPr>
                <w:sz w:val="18"/>
                <w:szCs w:val="18"/>
              </w:rPr>
              <w:t xml:space="preserve"> </w:t>
            </w:r>
            <w:r w:rsidRPr="00E95865">
              <w:rPr>
                <w:sz w:val="18"/>
                <w:szCs w:val="18"/>
              </w:rPr>
              <w:t xml:space="preserve">       </w:t>
            </w:r>
          </w:p>
        </w:tc>
        <w:tc>
          <w:tcPr>
            <w:tcW w:w="4675" w:type="dxa"/>
          </w:tcPr>
          <w:p w:rsidR="0078327D" w:rsidRPr="00E95865" w:rsidRDefault="0078327D" w:rsidP="0078327D">
            <w:pPr>
              <w:rPr>
                <w:sz w:val="18"/>
                <w:szCs w:val="18"/>
              </w:rPr>
            </w:pPr>
            <w:r w:rsidRPr="00E95865">
              <w:rPr>
                <w:sz w:val="18"/>
                <w:szCs w:val="18"/>
              </w:rPr>
              <w:t>Effective</w:t>
            </w:r>
            <w:r w:rsidR="00854CFE">
              <w:rPr>
                <w:sz w:val="18"/>
                <w:szCs w:val="18"/>
              </w:rPr>
              <w:t xml:space="preserve">  7/1/2015</w:t>
            </w:r>
            <w:r w:rsidR="007C2C32">
              <w:rPr>
                <w:sz w:val="18"/>
                <w:szCs w:val="18"/>
              </w:rPr>
              <w:t xml:space="preserve"> </w:t>
            </w:r>
            <w:r w:rsidR="00795DB7">
              <w:rPr>
                <w:sz w:val="18"/>
                <w:szCs w:val="18"/>
              </w:rPr>
              <w:t xml:space="preserve">   </w:t>
            </w:r>
          </w:p>
          <w:p w:rsidR="0078327D" w:rsidRPr="00E95865" w:rsidRDefault="0078327D" w:rsidP="0078327D">
            <w:pPr>
              <w:rPr>
                <w:sz w:val="18"/>
                <w:szCs w:val="18"/>
              </w:rPr>
            </w:pPr>
          </w:p>
          <w:p w:rsidR="0078327D" w:rsidRPr="00E95865" w:rsidRDefault="0078327D" w:rsidP="0078327D">
            <w:pPr>
              <w:rPr>
                <w:sz w:val="18"/>
                <w:szCs w:val="18"/>
              </w:rPr>
            </w:pPr>
            <w:r w:rsidRPr="00E95865">
              <w:rPr>
                <w:sz w:val="18"/>
                <w:szCs w:val="18"/>
              </w:rPr>
              <w:t>Revised</w:t>
            </w:r>
          </w:p>
          <w:p w:rsidR="0078327D" w:rsidRPr="00E95865" w:rsidRDefault="0078327D" w:rsidP="0078327D">
            <w:pPr>
              <w:rPr>
                <w:sz w:val="18"/>
                <w:szCs w:val="18"/>
              </w:rPr>
            </w:pPr>
          </w:p>
        </w:tc>
      </w:tr>
      <w:tr w:rsidR="0078327D" w:rsidTr="00531F41">
        <w:tc>
          <w:tcPr>
            <w:tcW w:w="4675" w:type="dxa"/>
            <w:tcBorders>
              <w:bottom w:val="single" w:sz="4" w:space="0" w:color="auto"/>
            </w:tcBorders>
          </w:tcPr>
          <w:p w:rsidR="0078327D" w:rsidRPr="00E95865" w:rsidRDefault="0078327D" w:rsidP="005C134F">
            <w:pPr>
              <w:rPr>
                <w:sz w:val="18"/>
                <w:szCs w:val="18"/>
              </w:rPr>
            </w:pPr>
            <w:r w:rsidRPr="00E95865">
              <w:rPr>
                <w:sz w:val="18"/>
                <w:szCs w:val="18"/>
              </w:rPr>
              <w:t xml:space="preserve">Policy </w:t>
            </w:r>
            <w:r w:rsidR="00BC10C9">
              <w:rPr>
                <w:sz w:val="18"/>
                <w:szCs w:val="18"/>
              </w:rPr>
              <w:t xml:space="preserve">         GME Special Review Policy</w:t>
            </w:r>
          </w:p>
        </w:tc>
        <w:tc>
          <w:tcPr>
            <w:tcW w:w="4675" w:type="dxa"/>
            <w:tcBorders>
              <w:bottom w:val="single" w:sz="4" w:space="0" w:color="auto"/>
            </w:tcBorders>
          </w:tcPr>
          <w:p w:rsidR="0078327D" w:rsidRPr="00E95865" w:rsidRDefault="0078327D" w:rsidP="0078327D">
            <w:pPr>
              <w:rPr>
                <w:sz w:val="18"/>
                <w:szCs w:val="18"/>
              </w:rPr>
            </w:pPr>
            <w:r w:rsidRPr="00E95865">
              <w:rPr>
                <w:sz w:val="18"/>
                <w:szCs w:val="18"/>
              </w:rPr>
              <w:t>Responsibility</w:t>
            </w:r>
            <w:r w:rsidR="00212850">
              <w:rPr>
                <w:sz w:val="18"/>
                <w:szCs w:val="18"/>
              </w:rPr>
              <w:t xml:space="preserve">   </w:t>
            </w:r>
            <w:r w:rsidR="00B4486A">
              <w:rPr>
                <w:sz w:val="18"/>
                <w:szCs w:val="18"/>
              </w:rPr>
              <w:t xml:space="preserve"> Designated Institutional Official</w:t>
            </w:r>
            <w:r w:rsidRPr="00E95865">
              <w:rPr>
                <w:sz w:val="18"/>
                <w:szCs w:val="18"/>
              </w:rPr>
              <w:t xml:space="preserve">         </w:t>
            </w:r>
          </w:p>
          <w:p w:rsidR="0078327D" w:rsidRPr="00E95865" w:rsidRDefault="0078327D" w:rsidP="0078327D">
            <w:pPr>
              <w:rPr>
                <w:sz w:val="18"/>
                <w:szCs w:val="18"/>
              </w:rPr>
            </w:pPr>
          </w:p>
          <w:p w:rsidR="0078327D" w:rsidRPr="00E95865" w:rsidRDefault="0078327D" w:rsidP="0078327D">
            <w:pPr>
              <w:rPr>
                <w:sz w:val="18"/>
                <w:szCs w:val="18"/>
              </w:rPr>
            </w:pPr>
            <w:r w:rsidRPr="00E95865">
              <w:rPr>
                <w:sz w:val="18"/>
                <w:szCs w:val="18"/>
              </w:rPr>
              <w:t xml:space="preserve"> </w:t>
            </w:r>
          </w:p>
        </w:tc>
      </w:tr>
      <w:tr w:rsidR="00CE6FF1" w:rsidTr="000B3CE3">
        <w:tc>
          <w:tcPr>
            <w:tcW w:w="9350" w:type="dxa"/>
            <w:gridSpan w:val="2"/>
          </w:tcPr>
          <w:p w:rsidR="00CE6FF1" w:rsidRDefault="00CE6FF1" w:rsidP="006B1BCC">
            <w:pPr>
              <w:jc w:val="center"/>
              <w:rPr>
                <w:b/>
                <w:sz w:val="18"/>
                <w:szCs w:val="18"/>
              </w:rPr>
            </w:pPr>
          </w:p>
          <w:p w:rsidR="006B1BCC" w:rsidRPr="00E95865" w:rsidRDefault="006B1BCC" w:rsidP="005C134F">
            <w:pPr>
              <w:jc w:val="center"/>
              <w:rPr>
                <w:b/>
                <w:sz w:val="18"/>
                <w:szCs w:val="18"/>
              </w:rPr>
            </w:pPr>
            <w:bookmarkStart w:id="0" w:name="_GoBack"/>
            <w:bookmarkEnd w:id="0"/>
          </w:p>
        </w:tc>
      </w:tr>
      <w:tr w:rsidR="00CE6FF1" w:rsidTr="00FE64F7">
        <w:trPr>
          <w:trHeight w:val="6722"/>
        </w:trPr>
        <w:tc>
          <w:tcPr>
            <w:tcW w:w="9350" w:type="dxa"/>
            <w:gridSpan w:val="2"/>
          </w:tcPr>
          <w:p w:rsidR="00795DB7" w:rsidRDefault="00A218B7" w:rsidP="00795DB7">
            <w:pPr>
              <w:rPr>
                <w:sz w:val="18"/>
                <w:szCs w:val="18"/>
              </w:rPr>
            </w:pPr>
            <w:r w:rsidRPr="00E95865">
              <w:rPr>
                <w:sz w:val="18"/>
                <w:szCs w:val="18"/>
              </w:rPr>
              <w:t>P</w:t>
            </w:r>
            <w:r w:rsidR="007C2C32">
              <w:rPr>
                <w:sz w:val="18"/>
                <w:szCs w:val="18"/>
              </w:rPr>
              <w:t>o</w:t>
            </w:r>
            <w:r w:rsidR="00FE64F7">
              <w:rPr>
                <w:sz w:val="18"/>
                <w:szCs w:val="18"/>
              </w:rPr>
              <w:t xml:space="preserve">licy           </w:t>
            </w:r>
            <w:r w:rsidRPr="00E95865">
              <w:rPr>
                <w:sz w:val="18"/>
                <w:szCs w:val="18"/>
              </w:rPr>
              <w:t xml:space="preserve">  </w:t>
            </w:r>
            <w:r w:rsidR="006907AA">
              <w:rPr>
                <w:sz w:val="18"/>
                <w:szCs w:val="18"/>
              </w:rPr>
              <w:t xml:space="preserve"> </w:t>
            </w:r>
          </w:p>
          <w:p w:rsidR="00795DB7" w:rsidRDefault="00795DB7" w:rsidP="00795DB7">
            <w:pPr>
              <w:rPr>
                <w:sz w:val="18"/>
                <w:szCs w:val="18"/>
              </w:rPr>
            </w:pPr>
          </w:p>
          <w:p w:rsidR="00BC10C9" w:rsidRDefault="00BC10C9" w:rsidP="00BC10C9">
            <w:r>
              <w:t>The GMEC has established a process for conducting Special Review of programs.  An individual program may be selected for Special Review based on underperformance, by request of its program director, or at the direction of the GMEC or DIO.  Any program with an ACGME accreditation status of continued accreditation with warning or probationary accreditation will undergo Special Review.</w:t>
            </w:r>
          </w:p>
          <w:p w:rsidR="00BC10C9" w:rsidRDefault="00BC10C9" w:rsidP="00BC10C9">
            <w:r>
              <w:t>Criteria used in identifying underperformance include but are not limited to:</w:t>
            </w:r>
          </w:p>
          <w:p w:rsidR="00BC10C9" w:rsidRDefault="00BC10C9" w:rsidP="00BC10C9">
            <w:pPr>
              <w:pStyle w:val="ListParagraph"/>
              <w:numPr>
                <w:ilvl w:val="0"/>
                <w:numId w:val="4"/>
              </w:numPr>
            </w:pPr>
            <w:r>
              <w:t>Program Attrition</w:t>
            </w:r>
          </w:p>
          <w:p w:rsidR="00BC10C9" w:rsidRDefault="00BC10C9" w:rsidP="00BC10C9">
            <w:pPr>
              <w:pStyle w:val="ListParagraph"/>
              <w:numPr>
                <w:ilvl w:val="1"/>
                <w:numId w:val="4"/>
              </w:numPr>
            </w:pPr>
            <w:r>
              <w:t>Change in Program Director more often than once every two years</w:t>
            </w:r>
          </w:p>
          <w:p w:rsidR="00BC10C9" w:rsidRDefault="00BC10C9" w:rsidP="00BC10C9">
            <w:pPr>
              <w:pStyle w:val="ListParagraph"/>
              <w:numPr>
                <w:ilvl w:val="1"/>
                <w:numId w:val="4"/>
              </w:numPr>
            </w:pPr>
            <w:r>
              <w:t>Decrease in core faculty &gt;10% each year for two years</w:t>
            </w:r>
          </w:p>
          <w:p w:rsidR="00BC10C9" w:rsidRDefault="00BC10C9" w:rsidP="00BC10C9">
            <w:pPr>
              <w:pStyle w:val="ListParagraph"/>
              <w:numPr>
                <w:ilvl w:val="1"/>
                <w:numId w:val="4"/>
              </w:numPr>
            </w:pPr>
            <w:r>
              <w:t>Residents/fellows withdrawing, transferring, or dismissed &gt;10%  for two consecutive years</w:t>
            </w:r>
          </w:p>
          <w:p w:rsidR="00BC10C9" w:rsidRDefault="00BC10C9" w:rsidP="00BC10C9">
            <w:pPr>
              <w:pStyle w:val="ListParagraph"/>
              <w:numPr>
                <w:ilvl w:val="0"/>
                <w:numId w:val="4"/>
              </w:numPr>
            </w:pPr>
            <w:r>
              <w:t>Program Changes</w:t>
            </w:r>
          </w:p>
          <w:p w:rsidR="00BC10C9" w:rsidRDefault="00BC10C9" w:rsidP="00BC10C9">
            <w:pPr>
              <w:pStyle w:val="ListParagraph"/>
              <w:numPr>
                <w:ilvl w:val="1"/>
                <w:numId w:val="4"/>
              </w:numPr>
            </w:pPr>
            <w:r>
              <w:t>A major participating site has been added or removed</w:t>
            </w:r>
          </w:p>
          <w:p w:rsidR="00BC10C9" w:rsidRDefault="00BC10C9" w:rsidP="00BC10C9">
            <w:pPr>
              <w:pStyle w:val="ListParagraph"/>
              <w:numPr>
                <w:ilvl w:val="1"/>
                <w:numId w:val="4"/>
              </w:numPr>
            </w:pPr>
            <w:r>
              <w:t>Consistent incomplete resident/fellow complement for two years</w:t>
            </w:r>
          </w:p>
          <w:p w:rsidR="00BC10C9" w:rsidRDefault="00BC10C9" w:rsidP="00BC10C9">
            <w:pPr>
              <w:pStyle w:val="ListParagraph"/>
              <w:numPr>
                <w:ilvl w:val="1"/>
                <w:numId w:val="4"/>
              </w:numPr>
            </w:pPr>
            <w:r>
              <w:t>Major curricular changes</w:t>
            </w:r>
          </w:p>
          <w:p w:rsidR="00BC10C9" w:rsidRDefault="00BC10C9" w:rsidP="00BC10C9">
            <w:pPr>
              <w:pStyle w:val="ListParagraph"/>
              <w:numPr>
                <w:ilvl w:val="0"/>
                <w:numId w:val="4"/>
              </w:numPr>
            </w:pPr>
            <w:r>
              <w:t>Scholarly Activity</w:t>
            </w:r>
          </w:p>
          <w:p w:rsidR="00BC10C9" w:rsidRDefault="00BC10C9" w:rsidP="00BC10C9">
            <w:pPr>
              <w:pStyle w:val="ListParagraph"/>
              <w:numPr>
                <w:ilvl w:val="1"/>
                <w:numId w:val="4"/>
              </w:numPr>
            </w:pPr>
            <w:r>
              <w:t>Identified inadequate scholarly activity for either core faculty or residents/fellows</w:t>
            </w:r>
          </w:p>
          <w:p w:rsidR="00BC10C9" w:rsidRDefault="00BC10C9" w:rsidP="00BC10C9">
            <w:pPr>
              <w:pStyle w:val="ListParagraph"/>
              <w:numPr>
                <w:ilvl w:val="0"/>
                <w:numId w:val="4"/>
              </w:numPr>
            </w:pPr>
            <w:r>
              <w:t>Board Pass Rates</w:t>
            </w:r>
          </w:p>
          <w:p w:rsidR="00BC10C9" w:rsidRDefault="00BC10C9" w:rsidP="00BC10C9">
            <w:pPr>
              <w:pStyle w:val="ListParagraph"/>
              <w:numPr>
                <w:ilvl w:val="1"/>
                <w:numId w:val="4"/>
              </w:numPr>
            </w:pPr>
            <w:r>
              <w:t>Falling below the accepted specialty threshold over a three year period</w:t>
            </w:r>
          </w:p>
          <w:p w:rsidR="00BC10C9" w:rsidRDefault="00BC10C9" w:rsidP="00BC10C9">
            <w:pPr>
              <w:pStyle w:val="ListParagraph"/>
              <w:numPr>
                <w:ilvl w:val="0"/>
                <w:numId w:val="4"/>
              </w:numPr>
            </w:pPr>
            <w:r>
              <w:t>Clinical Experience</w:t>
            </w:r>
          </w:p>
          <w:p w:rsidR="00BC10C9" w:rsidRDefault="00BC10C9" w:rsidP="00BC10C9">
            <w:pPr>
              <w:pStyle w:val="ListParagraph"/>
              <w:numPr>
                <w:ilvl w:val="1"/>
                <w:numId w:val="4"/>
              </w:numPr>
            </w:pPr>
            <w:r>
              <w:t>Any significant changes in adequacy of clinical or didactic experience</w:t>
            </w:r>
          </w:p>
          <w:p w:rsidR="00BC10C9" w:rsidRDefault="00BC10C9" w:rsidP="00BC10C9">
            <w:pPr>
              <w:pStyle w:val="ListParagraph"/>
              <w:numPr>
                <w:ilvl w:val="0"/>
                <w:numId w:val="4"/>
              </w:numPr>
            </w:pPr>
            <w:r>
              <w:t>ACGME Surveys</w:t>
            </w:r>
          </w:p>
          <w:p w:rsidR="00BC10C9" w:rsidRDefault="00BC10C9" w:rsidP="00BC10C9">
            <w:pPr>
              <w:pStyle w:val="ListParagraph"/>
              <w:numPr>
                <w:ilvl w:val="1"/>
                <w:numId w:val="4"/>
              </w:numPr>
            </w:pPr>
            <w:r>
              <w:t>Poor response rate</w:t>
            </w:r>
          </w:p>
          <w:p w:rsidR="00BC10C9" w:rsidRDefault="00BC10C9" w:rsidP="00BC10C9">
            <w:pPr>
              <w:pStyle w:val="ListParagraph"/>
              <w:numPr>
                <w:ilvl w:val="1"/>
                <w:numId w:val="4"/>
              </w:numPr>
            </w:pPr>
            <w:r>
              <w:t>Resident/fellow or faculty overall evaluation of the program</w:t>
            </w:r>
          </w:p>
          <w:p w:rsidR="00BC10C9" w:rsidRDefault="00BC10C9" w:rsidP="00BC10C9">
            <w:pPr>
              <w:pStyle w:val="ListParagraph"/>
              <w:numPr>
                <w:ilvl w:val="1"/>
                <w:numId w:val="4"/>
              </w:numPr>
            </w:pPr>
            <w:r>
              <w:t>Problematic survey items</w:t>
            </w:r>
          </w:p>
          <w:p w:rsidR="00BC10C9" w:rsidRDefault="00BC10C9" w:rsidP="00BC10C9">
            <w:pPr>
              <w:pStyle w:val="ListParagraph"/>
              <w:numPr>
                <w:ilvl w:val="1"/>
                <w:numId w:val="4"/>
              </w:numPr>
            </w:pPr>
            <w:r>
              <w:t xml:space="preserve">Repeated survey items previously identified </w:t>
            </w:r>
          </w:p>
          <w:p w:rsidR="00BC10C9" w:rsidRDefault="00BC10C9" w:rsidP="00BC10C9">
            <w:pPr>
              <w:pStyle w:val="ListParagraph"/>
              <w:numPr>
                <w:ilvl w:val="0"/>
                <w:numId w:val="4"/>
              </w:numPr>
            </w:pPr>
            <w:r>
              <w:t>ACGME Responsibilities</w:t>
            </w:r>
          </w:p>
          <w:p w:rsidR="00BC10C9" w:rsidRDefault="00BC10C9" w:rsidP="00BC10C9">
            <w:pPr>
              <w:pStyle w:val="ListParagraph"/>
              <w:numPr>
                <w:ilvl w:val="1"/>
                <w:numId w:val="4"/>
              </w:numPr>
            </w:pPr>
            <w:r>
              <w:t>Incomplete or inaccurate reporting of milestones or annual updates</w:t>
            </w:r>
          </w:p>
          <w:p w:rsidR="00BC10C9" w:rsidRDefault="00BC10C9" w:rsidP="00BC10C9">
            <w:pPr>
              <w:pStyle w:val="ListParagraph"/>
              <w:numPr>
                <w:ilvl w:val="1"/>
                <w:numId w:val="4"/>
              </w:numPr>
            </w:pPr>
            <w:r>
              <w:t>Inability to meet common and program specific requirements</w:t>
            </w:r>
          </w:p>
          <w:p w:rsidR="00BC10C9" w:rsidRDefault="00BC10C9" w:rsidP="00BC10C9">
            <w:pPr>
              <w:pStyle w:val="ListParagraph"/>
              <w:numPr>
                <w:ilvl w:val="1"/>
                <w:numId w:val="4"/>
              </w:numPr>
            </w:pPr>
            <w:r>
              <w:t>Inability to demonstrate success in the CLER focus areas</w:t>
            </w:r>
          </w:p>
          <w:p w:rsidR="00BC10C9" w:rsidRDefault="00BC10C9" w:rsidP="00BC10C9">
            <w:pPr>
              <w:pStyle w:val="ListParagraph"/>
              <w:numPr>
                <w:ilvl w:val="1"/>
                <w:numId w:val="4"/>
              </w:numPr>
            </w:pPr>
            <w:r>
              <w:t>Incomplete or inaccurate annual program evaluation reports</w:t>
            </w:r>
          </w:p>
          <w:p w:rsidR="00BC10C9" w:rsidRDefault="00BC10C9" w:rsidP="00BC10C9">
            <w:r>
              <w:t xml:space="preserve">The DIO will convene a panel for each Special Review.  The panel will consist of the DIO, the assistant deans in GME, and a team of participants from another program.  Those individuals from another </w:t>
            </w:r>
            <w:r>
              <w:lastRenderedPageBreak/>
              <w:t xml:space="preserve">program will consist of a program director or associate program director, program coordinator, and resident/fellow member.  </w:t>
            </w:r>
          </w:p>
          <w:p w:rsidR="00BC10C9" w:rsidRDefault="00BC10C9" w:rsidP="00BC10C9">
            <w:r>
              <w:t>Based on the identified concern, the program being reviewed may be asked to submit documentation prior to the Special Review visit that will help the panel gain clarity.  Information used in the review process shall include:</w:t>
            </w:r>
          </w:p>
          <w:p w:rsidR="00BC10C9" w:rsidRDefault="00BC10C9" w:rsidP="00BC10C9">
            <w:pPr>
              <w:pStyle w:val="ListParagraph"/>
              <w:numPr>
                <w:ilvl w:val="0"/>
                <w:numId w:val="5"/>
              </w:numPr>
            </w:pPr>
            <w:r>
              <w:t>The current ACGME Common, specialty/subspecialty-specific Program, and Institutional Requirements</w:t>
            </w:r>
          </w:p>
          <w:p w:rsidR="00BC10C9" w:rsidRDefault="00BC10C9" w:rsidP="00BC10C9">
            <w:pPr>
              <w:pStyle w:val="ListParagraph"/>
              <w:numPr>
                <w:ilvl w:val="0"/>
                <w:numId w:val="5"/>
              </w:numPr>
            </w:pPr>
            <w:r>
              <w:t>Letters of notification from the most recent ACGME review and any progress reports submitted to the RRC</w:t>
            </w:r>
          </w:p>
          <w:p w:rsidR="00BC10C9" w:rsidRDefault="00BC10C9" w:rsidP="00BC10C9">
            <w:pPr>
              <w:pStyle w:val="ListParagraph"/>
              <w:numPr>
                <w:ilvl w:val="0"/>
                <w:numId w:val="5"/>
              </w:numPr>
            </w:pPr>
            <w:r>
              <w:t>Reports from previous Special Reviews and old internal reviews</w:t>
            </w:r>
          </w:p>
          <w:p w:rsidR="00BC10C9" w:rsidRDefault="00BC10C9" w:rsidP="00BC10C9">
            <w:pPr>
              <w:pStyle w:val="ListParagraph"/>
              <w:numPr>
                <w:ilvl w:val="0"/>
                <w:numId w:val="5"/>
              </w:numPr>
            </w:pPr>
            <w:r>
              <w:t>Previous Annual Program Evaluations</w:t>
            </w:r>
          </w:p>
          <w:p w:rsidR="00BC10C9" w:rsidRDefault="00BC10C9" w:rsidP="00BC10C9">
            <w:pPr>
              <w:pStyle w:val="ListParagraph"/>
              <w:numPr>
                <w:ilvl w:val="0"/>
                <w:numId w:val="5"/>
              </w:numPr>
            </w:pPr>
            <w:r>
              <w:t>Results from ACGME Resident/Fellow and Faculty Surveys</w:t>
            </w:r>
          </w:p>
          <w:p w:rsidR="00BC10C9" w:rsidRDefault="00BC10C9" w:rsidP="00BC10C9">
            <w:pPr>
              <w:pStyle w:val="ListParagraph"/>
              <w:numPr>
                <w:ilvl w:val="0"/>
                <w:numId w:val="5"/>
              </w:numPr>
            </w:pPr>
            <w:r>
              <w:t>Other materials the panel considers necessary and appropriate.</w:t>
            </w:r>
          </w:p>
          <w:p w:rsidR="00F24C70" w:rsidRDefault="00BC10C9" w:rsidP="00A20DDE">
            <w:r>
              <w:t>The Special Review panel will conduct interviews with the Program Director, key faculty members, selected residents/fellows from each year of training, and other individuals deemed appropriate. The panel will submit a written report to the program leadership and GMEC with recommendations of the panel.  The DIO and GMEC will work with the program director on making necessary improvements, continuing to monitor outcomes to ensure the program is meeting expectations.</w:t>
            </w:r>
          </w:p>
          <w:p w:rsidR="00A20DDE" w:rsidRDefault="00A20DDE" w:rsidP="00A20DDE"/>
          <w:p w:rsidR="00A20DDE" w:rsidRDefault="00A20DDE" w:rsidP="00A20DDE">
            <w:pPr>
              <w:rPr>
                <w:sz w:val="20"/>
                <w:szCs w:val="20"/>
              </w:rPr>
            </w:pPr>
            <w:r>
              <w:t>The Program Director will provide an initial response to the report with specific details to demonstrate how the program is progressing in addressing concerns.  Subsequently, the DIO will schedule additional reports from the program at future GMEC meetings as the program continues to make improvements based on individual program needs and the amount of progress made with action plans.</w:t>
            </w: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p w:rsidR="00F24C70" w:rsidRDefault="00F24C70" w:rsidP="007223EA">
            <w:pPr>
              <w:pStyle w:val="NoSpacing"/>
              <w:rPr>
                <w:sz w:val="20"/>
                <w:szCs w:val="20"/>
              </w:rPr>
            </w:pPr>
          </w:p>
        </w:tc>
      </w:tr>
    </w:tbl>
    <w:p w:rsidR="0078327D" w:rsidRDefault="0078327D" w:rsidP="0078327D">
      <w:pPr>
        <w:jc w:val="center"/>
      </w:pPr>
      <w:r>
        <w:lastRenderedPageBreak/>
        <w:tab/>
      </w:r>
      <w:r>
        <w:tab/>
      </w:r>
    </w:p>
    <w:sectPr w:rsidR="00783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4CD5"/>
    <w:multiLevelType w:val="multilevel"/>
    <w:tmpl w:val="7DBE50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83BCC"/>
    <w:multiLevelType w:val="hybridMultilevel"/>
    <w:tmpl w:val="65CC9A3C"/>
    <w:lvl w:ilvl="0" w:tplc="8A72D798">
      <w:numFmt w:val="bullet"/>
      <w:lvlText w:val=""/>
      <w:lvlJc w:val="left"/>
      <w:pPr>
        <w:ind w:left="1335" w:hanging="360"/>
      </w:pPr>
      <w:rPr>
        <w:rFonts w:ascii="Symbol" w:eastAsia="Times New Roman"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15:restartNumberingAfterBreak="0">
    <w:nsid w:val="3DCC05E0"/>
    <w:multiLevelType w:val="hybridMultilevel"/>
    <w:tmpl w:val="0C38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B5C6E"/>
    <w:multiLevelType w:val="hybridMultilevel"/>
    <w:tmpl w:val="6CAC79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7BB36285"/>
    <w:multiLevelType w:val="hybridMultilevel"/>
    <w:tmpl w:val="AC66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7D"/>
    <w:rsid w:val="000B3CE3"/>
    <w:rsid w:val="00212850"/>
    <w:rsid w:val="00405502"/>
    <w:rsid w:val="00453C5A"/>
    <w:rsid w:val="00531F41"/>
    <w:rsid w:val="005C134F"/>
    <w:rsid w:val="006907AA"/>
    <w:rsid w:val="006A140A"/>
    <w:rsid w:val="006B1BCC"/>
    <w:rsid w:val="007223EA"/>
    <w:rsid w:val="0078327D"/>
    <w:rsid w:val="00795DB7"/>
    <w:rsid w:val="007C2C32"/>
    <w:rsid w:val="007F5973"/>
    <w:rsid w:val="00854CFE"/>
    <w:rsid w:val="008F25FC"/>
    <w:rsid w:val="00915B68"/>
    <w:rsid w:val="0098124F"/>
    <w:rsid w:val="00A11F77"/>
    <w:rsid w:val="00A20DDE"/>
    <w:rsid w:val="00A218B7"/>
    <w:rsid w:val="00A6213A"/>
    <w:rsid w:val="00B4486A"/>
    <w:rsid w:val="00BA4DAE"/>
    <w:rsid w:val="00BC10C9"/>
    <w:rsid w:val="00C8184B"/>
    <w:rsid w:val="00CC6653"/>
    <w:rsid w:val="00CE034D"/>
    <w:rsid w:val="00CE6FF1"/>
    <w:rsid w:val="00E95865"/>
    <w:rsid w:val="00F24C70"/>
    <w:rsid w:val="00F43DA1"/>
    <w:rsid w:val="00F833EA"/>
    <w:rsid w:val="00FE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77552-E62D-4C4B-AD9A-08F68548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59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59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59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5973"/>
    <w:rPr>
      <w:rFonts w:asciiTheme="majorHAnsi" w:eastAsiaTheme="majorEastAsia" w:hAnsiTheme="majorHAnsi" w:cstheme="majorBidi"/>
      <w:color w:val="2E74B5" w:themeColor="accent1" w:themeShade="BF"/>
      <w:sz w:val="26"/>
      <w:szCs w:val="26"/>
    </w:rPr>
  </w:style>
  <w:style w:type="paragraph" w:customStyle="1" w:styleId="null4">
    <w:name w:val="null4"/>
    <w:basedOn w:val="Normal"/>
    <w:rsid w:val="00A21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ll1">
    <w:name w:val="null1"/>
    <w:basedOn w:val="DefaultParagraphFont"/>
    <w:rsid w:val="00A218B7"/>
  </w:style>
  <w:style w:type="paragraph" w:styleId="NoSpacing">
    <w:name w:val="No Spacing"/>
    <w:uiPriority w:val="1"/>
    <w:qFormat/>
    <w:rsid w:val="00A218B7"/>
    <w:pPr>
      <w:spacing w:after="0" w:line="240" w:lineRule="auto"/>
    </w:pPr>
  </w:style>
  <w:style w:type="paragraph" w:styleId="BalloonText">
    <w:name w:val="Balloon Text"/>
    <w:basedOn w:val="Normal"/>
    <w:link w:val="BalloonTextChar"/>
    <w:uiPriority w:val="99"/>
    <w:semiHidden/>
    <w:unhideWhenUsed/>
    <w:rsid w:val="006A1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0A"/>
    <w:rPr>
      <w:rFonts w:ascii="Segoe UI" w:hAnsi="Segoe UI" w:cs="Segoe UI"/>
      <w:sz w:val="18"/>
      <w:szCs w:val="18"/>
    </w:rPr>
  </w:style>
  <w:style w:type="character" w:customStyle="1" w:styleId="null3">
    <w:name w:val="null3"/>
    <w:basedOn w:val="DefaultParagraphFont"/>
    <w:rsid w:val="00453C5A"/>
  </w:style>
  <w:style w:type="character" w:styleId="Strong">
    <w:name w:val="Strong"/>
    <w:basedOn w:val="DefaultParagraphFont"/>
    <w:uiPriority w:val="22"/>
    <w:qFormat/>
    <w:rsid w:val="00453C5A"/>
    <w:rPr>
      <w:b/>
      <w:bCs/>
    </w:rPr>
  </w:style>
  <w:style w:type="character" w:styleId="Hyperlink">
    <w:name w:val="Hyperlink"/>
    <w:basedOn w:val="DefaultParagraphFont"/>
    <w:uiPriority w:val="99"/>
    <w:unhideWhenUsed/>
    <w:rsid w:val="0098124F"/>
    <w:rPr>
      <w:color w:val="0563C1" w:themeColor="hyperlink"/>
      <w:u w:val="single"/>
    </w:rPr>
  </w:style>
  <w:style w:type="paragraph" w:styleId="ListParagraph">
    <w:name w:val="List Paragraph"/>
    <w:basedOn w:val="Normal"/>
    <w:uiPriority w:val="34"/>
    <w:qFormat/>
    <w:rsid w:val="00BC10C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33765">
      <w:bodyDiv w:val="1"/>
      <w:marLeft w:val="0"/>
      <w:marRight w:val="0"/>
      <w:marTop w:val="0"/>
      <w:marBottom w:val="0"/>
      <w:divBdr>
        <w:top w:val="none" w:sz="0" w:space="0" w:color="auto"/>
        <w:left w:val="none" w:sz="0" w:space="0" w:color="auto"/>
        <w:bottom w:val="none" w:sz="0" w:space="0" w:color="auto"/>
        <w:right w:val="none" w:sz="0" w:space="0" w:color="auto"/>
      </w:divBdr>
    </w:div>
    <w:div w:id="1603144579">
      <w:bodyDiv w:val="1"/>
      <w:marLeft w:val="0"/>
      <w:marRight w:val="0"/>
      <w:marTop w:val="0"/>
      <w:marBottom w:val="0"/>
      <w:divBdr>
        <w:top w:val="none" w:sz="0" w:space="0" w:color="auto"/>
        <w:left w:val="none" w:sz="0" w:space="0" w:color="auto"/>
        <w:bottom w:val="none" w:sz="0" w:space="0" w:color="auto"/>
        <w:right w:val="none" w:sz="0" w:space="0" w:color="auto"/>
      </w:divBdr>
      <w:divsChild>
        <w:div w:id="607468981">
          <w:marLeft w:val="0"/>
          <w:marRight w:val="0"/>
          <w:marTop w:val="0"/>
          <w:marBottom w:val="0"/>
          <w:divBdr>
            <w:top w:val="none" w:sz="0" w:space="0" w:color="auto"/>
            <w:left w:val="none" w:sz="0" w:space="0" w:color="auto"/>
            <w:bottom w:val="none" w:sz="0" w:space="0" w:color="auto"/>
            <w:right w:val="none" w:sz="0" w:space="0" w:color="auto"/>
          </w:divBdr>
          <w:divsChild>
            <w:div w:id="52892851">
              <w:marLeft w:val="120"/>
              <w:marRight w:val="0"/>
              <w:marTop w:val="0"/>
              <w:marBottom w:val="0"/>
              <w:divBdr>
                <w:top w:val="none" w:sz="0" w:space="0" w:color="auto"/>
                <w:left w:val="none" w:sz="0" w:space="0" w:color="auto"/>
                <w:bottom w:val="none" w:sz="0" w:space="0" w:color="auto"/>
                <w:right w:val="none" w:sz="0" w:space="0" w:color="auto"/>
              </w:divBdr>
              <w:divsChild>
                <w:div w:id="56861200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59626-670C-4A09-897A-F99EFA1B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 Stephanie H</dc:creator>
  <cp:keywords/>
  <dc:description/>
  <cp:lastModifiedBy>McNeely, Renee H.</cp:lastModifiedBy>
  <cp:revision>5</cp:revision>
  <cp:lastPrinted>2015-12-09T19:30:00Z</cp:lastPrinted>
  <dcterms:created xsi:type="dcterms:W3CDTF">2016-08-23T19:41:00Z</dcterms:created>
  <dcterms:modified xsi:type="dcterms:W3CDTF">2017-02-15T14:09:00Z</dcterms:modified>
</cp:coreProperties>
</file>