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bookmarkStart w:id="1" w:name="_GoBack"/>
      <w:bookmarkEnd w:id="1"/>
      <w:r w:rsidRPr="00F006B1">
        <w:rPr>
          <w:rFonts w:cs="Arial"/>
          <w:sz w:val="22"/>
          <w:szCs w:val="22"/>
        </w:rPr>
        <w:t xml:space="preserve">PART 1 - </w:t>
      </w:r>
      <w:bookmarkEnd w:id="0"/>
      <w:r w:rsidR="008B57C2">
        <w:rPr>
          <w:rFonts w:cs="Arial"/>
          <w:sz w:val="22"/>
          <w:szCs w:val="22"/>
        </w:rPr>
        <w:t>GENERAL</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DESCRIPTION OF WORK</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structurally sound and neat temporary facilities and controls as necessary for the Work.  Remove promptly as each is no longer required. </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OFFICE</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a temporary field office sized as necessary to support the Work.  Adequate space and facilities shall be provided in the field office for convenient use and storage of contract drawings and specifications, approved shop drawings and field records.  A telephone will be required. </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SHEDS</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watertight and secure storage sheds as necessary to hold materials to be protected while stored on the site. </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TOILET FACILITIES</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adequate temporary toilet and hand washing facilities for the use of all workers, conforming to all applicable laws, ordinances and regulations.  Maintain these facilities in sanitary condition and remove upon completion of work. </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ENCLOSURES</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weather tight enclosures or coverings for exterior openings in the building when required to permit the use of temporary heat or to protect the finished work from damage by the elements, and when necessary for security.</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dust-tight partitions of plywood construction between the interior of new and existing buildings when work has progressed to the point where a new building is to be connected to an existing building, and in other locations as required by renovation work.</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PROTECTION AND USE OF SITE</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Maintain any existing site fencing.  Provide and maintain all other fencing, planking, bridges, bracing, shoring, sheet piling, lights, barricades, warning signs and guards as necessary for the protection of persons, streets, sidewalks, landscaping, bridges, piers, buildings and property, both on and off the site, from construction related damage.</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The Contractor shall confine site operations to areas designated for its use on the Drawings.  The Contractor shall not interfere with the operations of surrounding buildings and shall not unreasonably clutter the site with materials or equipment.</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Should any damage occur, Contractor shall restore such to its original condition in a manner acceptable to the Designer.</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Take adequate precautions against fire.  Keep flammable material at an absolute minimum, ensure that such material is properly handled and stored.  Except as otherwise provided herein, do not permit fires to be built or open salamanders to be used in any part of the work.</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 xml:space="preserve">The Contractor shall be responsible for maintaining site access and paying all highway fees. </w:t>
      </w:r>
    </w:p>
    <w:p w:rsidR="001B753B" w:rsidRPr="001B753B" w:rsidRDefault="001B753B" w:rsidP="001B753B">
      <w:pPr>
        <w:numPr>
          <w:ilvl w:val="2"/>
          <w:numId w:val="10"/>
        </w:numPr>
        <w:spacing w:after="120"/>
        <w:jc w:val="both"/>
        <w:rPr>
          <w:rFonts w:ascii="Arial" w:hAnsi="Arial" w:cs="Arial"/>
          <w:sz w:val="22"/>
          <w:szCs w:val="22"/>
        </w:rPr>
      </w:pPr>
      <w:r w:rsidRPr="001B753B">
        <w:rPr>
          <w:rFonts w:ascii="Arial" w:hAnsi="Arial" w:cs="Arial"/>
          <w:sz w:val="22"/>
          <w:szCs w:val="22"/>
        </w:rPr>
        <w:lastRenderedPageBreak/>
        <w:t>The Contractor shall be responsible for repair of any damage resulting from the performance of the Work to lawns, pavement, sidewalks, curbs, streets, public utilities, and other public property.  Repairs shall restore to the conditions existing prior to performance of the Work.</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WATER AND SNOW CONTROL</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Keep the site and the project free of accumulation of water and supply, maintain and operate all necessary pumping and bailing equipment.</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Remove snow and ice as necessary for the protection and prosecution of the work, and protect the work against weather damage.</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HEATING</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heat, fuel and services as necessary to protect all work and materials against injury from dampness and cold until final acceptance of all work and material in the contract.  The Contractor shall provide heat as follows:</w:t>
      </w:r>
    </w:p>
    <w:p w:rsidR="001B753B" w:rsidRPr="001B753B" w:rsidRDefault="001B753B" w:rsidP="001B753B">
      <w:pPr>
        <w:widowControl w:val="0"/>
        <w:numPr>
          <w:ilvl w:val="3"/>
          <w:numId w:val="10"/>
        </w:numPr>
        <w:spacing w:after="120"/>
        <w:jc w:val="both"/>
        <w:rPr>
          <w:rFonts w:ascii="Arial" w:hAnsi="Arial" w:cs="Arial"/>
          <w:sz w:val="22"/>
          <w:szCs w:val="22"/>
        </w:rPr>
      </w:pPr>
      <w:r w:rsidRPr="001B753B">
        <w:rPr>
          <w:rFonts w:ascii="Arial" w:hAnsi="Arial" w:cs="Arial"/>
          <w:sz w:val="22"/>
          <w:szCs w:val="22"/>
        </w:rPr>
        <w:t>At all times during the placing, setting and curing of concrete, provide sufficient heat to ensure the heating of the space involved to not less than 50 degrees F unless otherwise approved.</w:t>
      </w:r>
    </w:p>
    <w:p w:rsidR="001B753B" w:rsidRPr="001B753B" w:rsidRDefault="001B753B" w:rsidP="001B753B">
      <w:pPr>
        <w:widowControl w:val="0"/>
        <w:numPr>
          <w:ilvl w:val="3"/>
          <w:numId w:val="10"/>
        </w:numPr>
        <w:spacing w:after="120"/>
        <w:jc w:val="both"/>
        <w:rPr>
          <w:rFonts w:ascii="Arial" w:hAnsi="Arial" w:cs="Arial"/>
          <w:sz w:val="22"/>
          <w:szCs w:val="22"/>
        </w:rPr>
      </w:pPr>
      <w:r w:rsidRPr="001B753B">
        <w:rPr>
          <w:rFonts w:ascii="Arial" w:hAnsi="Arial" w:cs="Arial"/>
          <w:sz w:val="22"/>
          <w:szCs w:val="22"/>
        </w:rPr>
        <w:t>For a period of ten days and</w:t>
      </w:r>
      <w:r>
        <w:rPr>
          <w:rFonts w:ascii="Arial" w:hAnsi="Arial" w:cs="Arial"/>
          <w:sz w:val="22"/>
          <w:szCs w:val="22"/>
        </w:rPr>
        <w:t xml:space="preserve"> until final acceptance of the W</w:t>
      </w:r>
      <w:r w:rsidRPr="001B753B">
        <w:rPr>
          <w:rFonts w:ascii="Arial" w:hAnsi="Arial" w:cs="Arial"/>
          <w:sz w:val="22"/>
          <w:szCs w:val="22"/>
        </w:rPr>
        <w:t>ork or until full occupancy, provide sufficient heat to maintain a temperature of not less than 60 degrees F.</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heat by approved heating apparatus that will not endanger or damage work in place.  Do not use unvented open flame heaters to heat or dry out freshly-placed concrete or plaster.</w:t>
      </w:r>
    </w:p>
    <w:p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In remodeled areas where the existing heating system remains intact and functioning, replace all disposable filters, clean all permanent filters and clean any duct systems from accumulation of dust and dirt.</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MAINTENANCE OF TRAFFIC AND CIRCULATION</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Maintain circulation of traffic, both pedestrian and vehicular, and access to all parts of the site by fire-fighting apparatus during construction.</w:t>
      </w:r>
    </w:p>
    <w:p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VERMIN CONTROL</w:t>
      </w:r>
    </w:p>
    <w:p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During construction, the Contractor shall keep the building and the area of the construction free of food scraps and similar organic matter that would attract vermin, and it shall take measures necessary to prevent infestation of the building.  If, at the time of final inspection or within six months after occupancy, the building is found to be infested by rodents or other vermin, the Contractor shall bear the expense of extermination.</w:t>
      </w:r>
    </w:p>
    <w:p w:rsidR="001B753B" w:rsidRPr="008B57C2" w:rsidRDefault="001B753B" w:rsidP="005D4F64">
      <w:pPr>
        <w:widowControl w:val="0"/>
        <w:spacing w:after="1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97" w:rsidRDefault="00514097" w:rsidP="00BE450E">
      <w:r>
        <w:separator/>
      </w:r>
    </w:p>
  </w:endnote>
  <w:endnote w:type="continuationSeparator" w:id="0">
    <w:p w:rsidR="00514097" w:rsidRDefault="00514097"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807BE8" w:rsidRDefault="008B57C2" w:rsidP="008B57C2">
    <w:pPr>
      <w:pStyle w:val="Footer"/>
      <w:tabs>
        <w:tab w:val="clear" w:pos="8640"/>
        <w:tab w:val="right" w:pos="9360"/>
      </w:tabs>
      <w:rPr>
        <w:rFonts w:ascii="Arial" w:hAnsi="Arial" w:cs="Arial"/>
        <w:sz w:val="18"/>
        <w:szCs w:val="16"/>
      </w:rPr>
    </w:pPr>
    <w:r w:rsidRPr="00807BE8">
      <w:rPr>
        <w:rFonts w:ascii="Arial" w:hAnsi="Arial" w:cs="Arial"/>
        <w:sz w:val="18"/>
        <w:szCs w:val="16"/>
      </w:rPr>
      <w:t>TN Higher Education – Standard Document – May 2018</w:t>
    </w:r>
    <w:r w:rsidR="00456D83" w:rsidRPr="00807BE8">
      <w:rPr>
        <w:rFonts w:ascii="Arial" w:hAnsi="Arial" w:cs="Arial"/>
        <w:sz w:val="18"/>
        <w:szCs w:val="16"/>
      </w:rPr>
      <w:tab/>
    </w:r>
    <w:r w:rsidRPr="00807BE8">
      <w:rPr>
        <w:rFonts w:ascii="Arial" w:hAnsi="Arial" w:cs="Arial"/>
        <w:sz w:val="18"/>
        <w:szCs w:val="16"/>
      </w:rPr>
      <w:t xml:space="preserve">Page </w:t>
    </w:r>
    <w:r w:rsidRPr="00807BE8">
      <w:rPr>
        <w:rStyle w:val="PageNumber"/>
        <w:rFonts w:ascii="Arial" w:hAnsi="Arial" w:cs="Arial"/>
        <w:sz w:val="18"/>
        <w:szCs w:val="16"/>
      </w:rPr>
      <w:fldChar w:fldCharType="begin"/>
    </w:r>
    <w:r w:rsidRPr="00807BE8">
      <w:rPr>
        <w:rStyle w:val="PageNumber"/>
        <w:rFonts w:ascii="Arial" w:hAnsi="Arial" w:cs="Arial"/>
        <w:sz w:val="18"/>
        <w:szCs w:val="16"/>
      </w:rPr>
      <w:instrText xml:space="preserve"> PAGE </w:instrText>
    </w:r>
    <w:r w:rsidRPr="00807BE8">
      <w:rPr>
        <w:rStyle w:val="PageNumber"/>
        <w:rFonts w:ascii="Arial" w:hAnsi="Arial" w:cs="Arial"/>
        <w:sz w:val="18"/>
        <w:szCs w:val="16"/>
      </w:rPr>
      <w:fldChar w:fldCharType="separate"/>
    </w:r>
    <w:r w:rsidR="00D631B3">
      <w:rPr>
        <w:rStyle w:val="PageNumber"/>
        <w:rFonts w:ascii="Arial" w:hAnsi="Arial" w:cs="Arial"/>
        <w:noProof/>
        <w:sz w:val="18"/>
        <w:szCs w:val="16"/>
      </w:rPr>
      <w:t>1</w:t>
    </w:r>
    <w:r w:rsidRPr="00807BE8">
      <w:rPr>
        <w:rStyle w:val="PageNumber"/>
        <w:rFonts w:ascii="Arial" w:hAnsi="Arial" w:cs="Arial"/>
        <w:sz w:val="18"/>
        <w:szCs w:val="16"/>
      </w:rPr>
      <w:fldChar w:fldCharType="end"/>
    </w:r>
    <w:r w:rsidRPr="00807BE8">
      <w:rPr>
        <w:rStyle w:val="PageNumber"/>
        <w:rFonts w:ascii="Arial" w:hAnsi="Arial" w:cs="Arial"/>
        <w:sz w:val="18"/>
        <w:szCs w:val="16"/>
      </w:rPr>
      <w:t xml:space="preserve"> of </w:t>
    </w:r>
    <w:r w:rsidRPr="00807BE8">
      <w:rPr>
        <w:rStyle w:val="PageNumber"/>
        <w:rFonts w:ascii="Arial" w:hAnsi="Arial" w:cs="Arial"/>
        <w:sz w:val="18"/>
        <w:szCs w:val="16"/>
      </w:rPr>
      <w:fldChar w:fldCharType="begin"/>
    </w:r>
    <w:r w:rsidRPr="00807BE8">
      <w:rPr>
        <w:rStyle w:val="PageNumber"/>
        <w:rFonts w:ascii="Arial" w:hAnsi="Arial" w:cs="Arial"/>
        <w:sz w:val="18"/>
        <w:szCs w:val="16"/>
      </w:rPr>
      <w:instrText xml:space="preserve"> NUMPAGES </w:instrText>
    </w:r>
    <w:r w:rsidRPr="00807BE8">
      <w:rPr>
        <w:rStyle w:val="PageNumber"/>
        <w:rFonts w:ascii="Arial" w:hAnsi="Arial" w:cs="Arial"/>
        <w:sz w:val="18"/>
        <w:szCs w:val="16"/>
      </w:rPr>
      <w:fldChar w:fldCharType="separate"/>
    </w:r>
    <w:r w:rsidR="00D631B3">
      <w:rPr>
        <w:rStyle w:val="PageNumber"/>
        <w:rFonts w:ascii="Arial" w:hAnsi="Arial" w:cs="Arial"/>
        <w:noProof/>
        <w:sz w:val="18"/>
        <w:szCs w:val="16"/>
      </w:rPr>
      <w:t>2</w:t>
    </w:r>
    <w:r w:rsidRPr="00807BE8">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97" w:rsidRDefault="00514097" w:rsidP="00BE450E">
      <w:r>
        <w:separator/>
      </w:r>
    </w:p>
  </w:footnote>
  <w:footnote w:type="continuationSeparator" w:id="0">
    <w:p w:rsidR="00514097" w:rsidRDefault="00514097"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1B753B" w:rsidRDefault="001B753B"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01 50 00</w:t>
    </w:r>
    <w:r w:rsidR="00456D83">
      <w:rPr>
        <w:rFonts w:ascii="Arial" w:hAnsi="Arial" w:cs="Arial"/>
        <w:b/>
        <w:sz w:val="22"/>
        <w:szCs w:val="22"/>
      </w:rPr>
      <w:t xml:space="preserve"> – </w:t>
    </w:r>
    <w:r>
      <w:rPr>
        <w:rFonts w:ascii="Arial" w:hAnsi="Arial" w:cs="Arial"/>
        <w:b/>
        <w:sz w:val="22"/>
        <w:szCs w:val="22"/>
      </w:rPr>
      <w:t>TEMPORARY FACILITIES AND CONTROLS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B753B"/>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4097"/>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9152E"/>
    <w:rsid w:val="007A1E34"/>
    <w:rsid w:val="007B2532"/>
    <w:rsid w:val="007B357D"/>
    <w:rsid w:val="007E369B"/>
    <w:rsid w:val="007F6DA1"/>
    <w:rsid w:val="00806B47"/>
    <w:rsid w:val="00807BE8"/>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7275"/>
    <w:rsid w:val="00B666C7"/>
    <w:rsid w:val="00B71AB4"/>
    <w:rsid w:val="00B85739"/>
    <w:rsid w:val="00B95DD0"/>
    <w:rsid w:val="00BC4877"/>
    <w:rsid w:val="00BE450E"/>
    <w:rsid w:val="00BE520C"/>
    <w:rsid w:val="00BE5BE0"/>
    <w:rsid w:val="00BF21B6"/>
    <w:rsid w:val="00C12D31"/>
    <w:rsid w:val="00C25436"/>
    <w:rsid w:val="00C374D6"/>
    <w:rsid w:val="00C63112"/>
    <w:rsid w:val="00C6511C"/>
    <w:rsid w:val="00C66B32"/>
    <w:rsid w:val="00C85DEB"/>
    <w:rsid w:val="00C919A2"/>
    <w:rsid w:val="00CB448C"/>
    <w:rsid w:val="00D0107D"/>
    <w:rsid w:val="00D252F9"/>
    <w:rsid w:val="00D631B3"/>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5DD3-F295-4064-A417-F4014087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4056</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2</cp:revision>
  <cp:lastPrinted>2010-04-15T19:55:00Z</cp:lastPrinted>
  <dcterms:created xsi:type="dcterms:W3CDTF">2018-05-17T16:17:00Z</dcterms:created>
  <dcterms:modified xsi:type="dcterms:W3CDTF">2018-05-17T16:17:00Z</dcterms:modified>
</cp:coreProperties>
</file>