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AFD7" w14:textId="77777777" w:rsidR="004D2296" w:rsidRPr="004D2296" w:rsidRDefault="004D2296" w:rsidP="004D2296">
      <w:pPr>
        <w:pStyle w:val="Default"/>
        <w:rPr>
          <w:rFonts w:ascii="Times New Roman" w:hAnsi="Times New Roman" w:cs="Times New Roman"/>
        </w:rPr>
      </w:pPr>
    </w:p>
    <w:p w14:paraId="0F358C99" w14:textId="5A4B6CA1" w:rsidR="004D2296" w:rsidRPr="004D2296" w:rsidRDefault="004D2296" w:rsidP="004D2296">
      <w:pPr>
        <w:pStyle w:val="adbestyle0000"/>
        <w:spacing w:after="327" w:line="338" w:lineRule="atLeast"/>
        <w:jc w:val="center"/>
        <w:rPr>
          <w:rFonts w:ascii="Times New Roman" w:hAnsi="Times New Roman" w:cs="Times New Roman"/>
          <w:b/>
          <w:bCs/>
          <w:color w:val="000000"/>
          <w:sz w:val="28"/>
          <w:szCs w:val="28"/>
        </w:rPr>
      </w:pPr>
      <w:r w:rsidRPr="004D2296">
        <w:rPr>
          <w:rFonts w:ascii="Times New Roman" w:hAnsi="Times New Roman" w:cs="Times New Roman"/>
          <w:b/>
          <w:bCs/>
          <w:sz w:val="28"/>
          <w:szCs w:val="28"/>
        </w:rPr>
        <w:t xml:space="preserve"> </w:t>
      </w:r>
      <w:r w:rsidRPr="004D2296">
        <w:rPr>
          <w:rFonts w:ascii="Times New Roman" w:hAnsi="Times New Roman" w:cs="Times New Roman"/>
          <w:b/>
          <w:bCs/>
          <w:color w:val="000000"/>
          <w:sz w:val="28"/>
          <w:szCs w:val="28"/>
        </w:rPr>
        <w:t>East Tennessee State University 202</w:t>
      </w:r>
      <w:r w:rsidR="005A3D5B">
        <w:rPr>
          <w:rFonts w:ascii="Times New Roman" w:hAnsi="Times New Roman" w:cs="Times New Roman"/>
          <w:b/>
          <w:bCs/>
          <w:color w:val="000000"/>
          <w:sz w:val="28"/>
          <w:szCs w:val="28"/>
        </w:rPr>
        <w:t>6</w:t>
      </w:r>
      <w:r w:rsidRPr="004D2296">
        <w:rPr>
          <w:rFonts w:ascii="Times New Roman" w:hAnsi="Times New Roman" w:cs="Times New Roman"/>
          <w:b/>
          <w:bCs/>
          <w:color w:val="000000"/>
          <w:sz w:val="28"/>
          <w:szCs w:val="28"/>
        </w:rPr>
        <w:t>-202</w:t>
      </w:r>
      <w:r w:rsidR="005A3D5B">
        <w:rPr>
          <w:rFonts w:ascii="Times New Roman" w:hAnsi="Times New Roman" w:cs="Times New Roman"/>
          <w:b/>
          <w:bCs/>
          <w:color w:val="000000"/>
          <w:sz w:val="28"/>
          <w:szCs w:val="28"/>
        </w:rPr>
        <w:t>7</w:t>
      </w:r>
      <w:r w:rsidRPr="004D2296">
        <w:rPr>
          <w:rFonts w:ascii="Times New Roman" w:hAnsi="Times New Roman" w:cs="Times New Roman"/>
          <w:b/>
          <w:bCs/>
          <w:color w:val="000000"/>
          <w:sz w:val="28"/>
          <w:szCs w:val="28"/>
        </w:rPr>
        <w:t xml:space="preserve"> Proposed Tuition and Mandatory Fee </w:t>
      </w:r>
      <w:r w:rsidR="009C0829">
        <w:rPr>
          <w:rFonts w:ascii="Times New Roman" w:hAnsi="Times New Roman" w:cs="Times New Roman"/>
          <w:b/>
          <w:bCs/>
          <w:color w:val="000000"/>
          <w:sz w:val="28"/>
          <w:szCs w:val="28"/>
        </w:rPr>
        <w:t>Ranges</w:t>
      </w:r>
    </w:p>
    <w:p w14:paraId="439BB79B" w14:textId="49203B4A" w:rsidR="004D2296" w:rsidRDefault="004D2296" w:rsidP="0019337F">
      <w:pPr>
        <w:pStyle w:val="BodyText"/>
      </w:pPr>
      <w:bookmarkStart w:id="0" w:name="_Hlk224634892"/>
      <w:r w:rsidRPr="004D2296">
        <w:t xml:space="preserve">In compliance with the Tennessee Tuition Transparency and Accountability Act (Tennessee Code Annotated § 49-7- 1603), the Board of Trustees of East Tennessee State University is providing notice of the proposed tuition and mandatory fee </w:t>
      </w:r>
      <w:r w:rsidR="00C57F27">
        <w:t xml:space="preserve">ranges under consideration </w:t>
      </w:r>
      <w:r w:rsidRPr="004D2296">
        <w:t>for the 202</w:t>
      </w:r>
      <w:r w:rsidR="009C0829">
        <w:t>6</w:t>
      </w:r>
      <w:r w:rsidRPr="004D2296">
        <w:t>-202</w:t>
      </w:r>
      <w:r w:rsidR="009C0829">
        <w:t>7</w:t>
      </w:r>
      <w:r w:rsidRPr="004D2296">
        <w:t xml:space="preserve"> academic year</w:t>
      </w:r>
      <w:r w:rsidR="00C57F27">
        <w:t>.  Final action will be taken by Board during its regularly scheduled quarterly</w:t>
      </w:r>
      <w:r w:rsidRPr="004D2296">
        <w:t xml:space="preserve"> meeting to be held on May 2</w:t>
      </w:r>
      <w:r w:rsidR="009C0829">
        <w:t>1</w:t>
      </w:r>
      <w:r w:rsidRPr="004D2296">
        <w:t>, 202</w:t>
      </w:r>
      <w:r w:rsidR="009C0829">
        <w:t>6</w:t>
      </w:r>
      <w:r w:rsidRPr="004D2296">
        <w:t xml:space="preserve">. Individuals are invited to submit written comments about the proposed </w:t>
      </w:r>
      <w:r w:rsidR="00CB3FFC" w:rsidRPr="00CB3FFC">
        <w:t>tuition and mandatory fee ranges</w:t>
      </w:r>
      <w:r w:rsidR="00CB3FFC">
        <w:t xml:space="preserve"> </w:t>
      </w:r>
      <w:r w:rsidRPr="004D2296">
        <w:t xml:space="preserve">via the online site or by mail to the Office of the Board of Trustees, P.O. Box 70734, Johnson City, TN 37614. All comments must be received by </w:t>
      </w:r>
      <w:r w:rsidR="00E2353C" w:rsidRPr="00E2353C">
        <w:t>Wednesday, April 15, 2026</w:t>
      </w:r>
      <w:r w:rsidRPr="00E2353C">
        <w:t>.</w:t>
      </w:r>
    </w:p>
    <w:bookmarkEnd w:id="0"/>
    <w:p w14:paraId="15D38FC8" w14:textId="77777777" w:rsidR="0019337F" w:rsidRPr="004D2296" w:rsidRDefault="0019337F" w:rsidP="0019337F">
      <w:pPr>
        <w:pStyle w:val="BodyText"/>
      </w:pPr>
    </w:p>
    <w:p w14:paraId="2CCDCC78" w14:textId="26426719" w:rsidR="004D2296" w:rsidRPr="004D2296" w:rsidRDefault="004D2296" w:rsidP="004D2296">
      <w:pPr>
        <w:pStyle w:val="BodyText"/>
      </w:pPr>
      <w:r w:rsidRPr="004D2296">
        <w:t>The Board of Trustees annually evaluates certain criteria when considering increases in tuition and mandatory fees. Those criteria include:</w:t>
      </w:r>
    </w:p>
    <w:p w14:paraId="76436428" w14:textId="77777777" w:rsidR="009C0829" w:rsidRPr="009C0829" w:rsidRDefault="009C0829" w:rsidP="009C0829">
      <w:pPr>
        <w:spacing w:after="0" w:line="276" w:lineRule="auto"/>
        <w:contextualSpacing/>
        <w:jc w:val="both"/>
        <w:rPr>
          <w:rFonts w:ascii="Times New Roman" w:eastAsia="Calibri" w:hAnsi="Times New Roman" w:cs="Times New Roman"/>
          <w:sz w:val="24"/>
          <w:szCs w:val="24"/>
        </w:rPr>
      </w:pPr>
    </w:p>
    <w:p w14:paraId="1266445A" w14:textId="77777777" w:rsidR="009C0829" w:rsidRPr="009C0829" w:rsidRDefault="009C0829" w:rsidP="009C0829">
      <w:pPr>
        <w:numPr>
          <w:ilvl w:val="0"/>
          <w:numId w:val="5"/>
        </w:numPr>
        <w:spacing w:after="0"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 xml:space="preserve">Level of state </w:t>
      </w:r>
      <w:proofErr w:type="gramStart"/>
      <w:r w:rsidRPr="009C0829">
        <w:rPr>
          <w:rFonts w:ascii="Times New Roman" w:eastAsia="Calibri" w:hAnsi="Times New Roman" w:cs="Times New Roman"/>
          <w:sz w:val="24"/>
          <w:szCs w:val="24"/>
        </w:rPr>
        <w:t>support;</w:t>
      </w:r>
      <w:proofErr w:type="gramEnd"/>
    </w:p>
    <w:p w14:paraId="7858E0DF" w14:textId="77777777" w:rsidR="009C0829" w:rsidRPr="009C0829" w:rsidRDefault="009C0829" w:rsidP="009C0829">
      <w:pPr>
        <w:numPr>
          <w:ilvl w:val="0"/>
          <w:numId w:val="5"/>
        </w:numPr>
        <w:spacing w:after="0"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 xml:space="preserve">Total cost of </w:t>
      </w:r>
      <w:proofErr w:type="gramStart"/>
      <w:r w:rsidRPr="009C0829">
        <w:rPr>
          <w:rFonts w:ascii="Times New Roman" w:eastAsia="Calibri" w:hAnsi="Times New Roman" w:cs="Times New Roman"/>
          <w:sz w:val="24"/>
          <w:szCs w:val="24"/>
        </w:rPr>
        <w:t>attendance;</w:t>
      </w:r>
      <w:proofErr w:type="gramEnd"/>
    </w:p>
    <w:p w14:paraId="04B7C35A" w14:textId="77777777" w:rsidR="009C0829" w:rsidRPr="009C0829" w:rsidRDefault="009C0829" w:rsidP="009C0829">
      <w:pPr>
        <w:numPr>
          <w:ilvl w:val="0"/>
          <w:numId w:val="5"/>
        </w:numPr>
        <w:spacing w:after="0"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 xml:space="preserve">Efforts to mitigate the financial effect on </w:t>
      </w:r>
      <w:proofErr w:type="gramStart"/>
      <w:r w:rsidRPr="009C0829">
        <w:rPr>
          <w:rFonts w:ascii="Times New Roman" w:eastAsia="Calibri" w:hAnsi="Times New Roman" w:cs="Times New Roman"/>
          <w:sz w:val="24"/>
          <w:szCs w:val="24"/>
        </w:rPr>
        <w:t>students;</w:t>
      </w:r>
      <w:proofErr w:type="gramEnd"/>
    </w:p>
    <w:p w14:paraId="18CDFC62" w14:textId="77777777" w:rsidR="009C0829" w:rsidRPr="009C0829" w:rsidRDefault="009C0829" w:rsidP="009C0829">
      <w:pPr>
        <w:numPr>
          <w:ilvl w:val="0"/>
          <w:numId w:val="5"/>
        </w:numPr>
        <w:spacing w:after="0"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 xml:space="preserve">Tennessee Higher Education Commission (THEC) binding tuition and mandatory fee increase </w:t>
      </w:r>
      <w:proofErr w:type="gramStart"/>
      <w:r w:rsidRPr="009C0829">
        <w:rPr>
          <w:rFonts w:ascii="Times New Roman" w:eastAsia="Calibri" w:hAnsi="Times New Roman" w:cs="Times New Roman"/>
          <w:sz w:val="24"/>
          <w:szCs w:val="24"/>
        </w:rPr>
        <w:t>ranges;</w:t>
      </w:r>
      <w:proofErr w:type="gramEnd"/>
    </w:p>
    <w:p w14:paraId="31580748" w14:textId="77777777" w:rsidR="009C0829" w:rsidRPr="009C0829" w:rsidRDefault="009C0829" w:rsidP="009C0829">
      <w:pPr>
        <w:numPr>
          <w:ilvl w:val="0"/>
          <w:numId w:val="5"/>
        </w:numPr>
        <w:spacing w:after="0"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 xml:space="preserve">Other factors affecting the university’s financial stability such as projected student enrollment; university enrollment goals; market and cost factors for higher education; new program or new facility cost; and cost related to operations, programs of study, or individual courses.  </w:t>
      </w:r>
    </w:p>
    <w:p w14:paraId="191C1A2B" w14:textId="77777777" w:rsidR="009C0829" w:rsidRPr="009C0829" w:rsidRDefault="009C0829" w:rsidP="009C0829">
      <w:pPr>
        <w:contextualSpacing/>
        <w:jc w:val="both"/>
        <w:rPr>
          <w:rFonts w:ascii="Times New Roman" w:eastAsia="Calibri" w:hAnsi="Times New Roman" w:cs="Times New Roman"/>
          <w:sz w:val="24"/>
          <w:szCs w:val="24"/>
        </w:rPr>
      </w:pPr>
    </w:p>
    <w:p w14:paraId="6624A242" w14:textId="77777777" w:rsidR="009C0829" w:rsidRPr="009C0829" w:rsidRDefault="009C0829" w:rsidP="009C0829">
      <w:pPr>
        <w:spacing w:line="276" w:lineRule="auto"/>
        <w:contextualSpacing/>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University staff has outlined the current year assessment as follows:</w:t>
      </w:r>
    </w:p>
    <w:p w14:paraId="2671B87C" w14:textId="77777777" w:rsidR="009C0829" w:rsidRPr="009C0829" w:rsidRDefault="009C0829" w:rsidP="009C0829">
      <w:pPr>
        <w:numPr>
          <w:ilvl w:val="0"/>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b/>
          <w:color w:val="000000"/>
          <w:sz w:val="24"/>
          <w:szCs w:val="24"/>
        </w:rPr>
        <w:t>Level of state support</w:t>
      </w:r>
      <w:r w:rsidRPr="009C0829">
        <w:rPr>
          <w:rFonts w:ascii="Times New Roman" w:eastAsia="Calibri" w:hAnsi="Times New Roman" w:cs="Times New Roman"/>
          <w:color w:val="000000"/>
          <w:sz w:val="24"/>
          <w:szCs w:val="24"/>
        </w:rPr>
        <w:t xml:space="preserve"> – THEC based tuition models on a core Consumer Price Index of 3.1 percent and flat enrollment. THEC did not include a salary allocation in their model. The inflation factor for the state supported units at ETSU equates to an appropriation increase of $1.3 million. </w:t>
      </w:r>
    </w:p>
    <w:p w14:paraId="73BF4635" w14:textId="77777777" w:rsidR="009C0829" w:rsidRPr="009C0829" w:rsidRDefault="009C0829" w:rsidP="009C0829">
      <w:pPr>
        <w:numPr>
          <w:ilvl w:val="0"/>
          <w:numId w:val="4"/>
        </w:numPr>
        <w:autoSpaceDE w:val="0"/>
        <w:autoSpaceDN w:val="0"/>
        <w:adjustRightInd w:val="0"/>
        <w:spacing w:after="0" w:line="276" w:lineRule="auto"/>
        <w:jc w:val="both"/>
        <w:rPr>
          <w:rFonts w:ascii="Times New Roman" w:eastAsia="Calibri" w:hAnsi="Times New Roman" w:cs="Times New Roman"/>
          <w:color w:val="000000"/>
          <w:sz w:val="23"/>
          <w:szCs w:val="23"/>
        </w:rPr>
      </w:pPr>
      <w:r w:rsidRPr="009C0829">
        <w:rPr>
          <w:rFonts w:ascii="Times New Roman" w:eastAsia="Calibri" w:hAnsi="Times New Roman" w:cs="Times New Roman"/>
          <w:b/>
          <w:color w:val="000000"/>
          <w:sz w:val="24"/>
          <w:szCs w:val="24"/>
        </w:rPr>
        <w:t>Total cost of attendance</w:t>
      </w:r>
      <w:r w:rsidRPr="009C0829">
        <w:rPr>
          <w:rFonts w:ascii="Times New Roman" w:eastAsia="Calibri" w:hAnsi="Times New Roman" w:cs="Times New Roman"/>
          <w:color w:val="000000"/>
          <w:sz w:val="24"/>
          <w:szCs w:val="24"/>
        </w:rPr>
        <w:t xml:space="preserve"> – Tuition and fees increased by 4.98% in FY26. Tuition and mandatory fees for FY26 at ETSU continue to be comparable to other public institutions of higher education in the state. A comparison of tuition and mandatory fees is listed below and show that ETSU is below the university average. </w:t>
      </w:r>
    </w:p>
    <w:p w14:paraId="0BF5654E" w14:textId="77777777" w:rsidR="009C0829" w:rsidRPr="009C0829" w:rsidRDefault="009C0829" w:rsidP="009C0829">
      <w:pPr>
        <w:numPr>
          <w:ilvl w:val="0"/>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b/>
          <w:color w:val="000000"/>
          <w:sz w:val="24"/>
          <w:szCs w:val="24"/>
        </w:rPr>
        <w:lastRenderedPageBreak/>
        <w:t>Efforts to mitigate the financial effect on students</w:t>
      </w:r>
      <w:r w:rsidRPr="009C0829">
        <w:rPr>
          <w:rFonts w:ascii="Times New Roman" w:eastAsia="Calibri" w:hAnsi="Times New Roman" w:cs="Times New Roman"/>
          <w:color w:val="000000"/>
          <w:sz w:val="24"/>
          <w:szCs w:val="24"/>
        </w:rPr>
        <w:t xml:space="preserve"> – The University continues to look for ways to mitigate rising costs to students. Reviews of academic and administrative areas are ongoing and should identify areas to improve services, reduce costs, or allow assets to be used more effectively for students. </w:t>
      </w:r>
    </w:p>
    <w:p w14:paraId="603C1329" w14:textId="77777777" w:rsidR="009C0829" w:rsidRPr="009C0829" w:rsidRDefault="009C0829" w:rsidP="009C0829">
      <w:pPr>
        <w:numPr>
          <w:ilvl w:val="0"/>
          <w:numId w:val="4"/>
        </w:numPr>
        <w:autoSpaceDE w:val="0"/>
        <w:autoSpaceDN w:val="0"/>
        <w:adjustRightInd w:val="0"/>
        <w:spacing w:after="0" w:line="276" w:lineRule="auto"/>
        <w:jc w:val="both"/>
        <w:rPr>
          <w:rFonts w:ascii="Times New Roman" w:eastAsia="Calibri" w:hAnsi="Times New Roman" w:cs="Times New Roman"/>
          <w:color w:val="000000"/>
          <w:sz w:val="23"/>
          <w:szCs w:val="23"/>
        </w:rPr>
      </w:pPr>
      <w:r w:rsidRPr="009C0829">
        <w:rPr>
          <w:rFonts w:ascii="Times New Roman" w:eastAsia="Calibri" w:hAnsi="Times New Roman" w:cs="Times New Roman"/>
          <w:b/>
          <w:color w:val="000000"/>
          <w:sz w:val="24"/>
          <w:szCs w:val="24"/>
        </w:rPr>
        <w:t>THEC binding tuition and mandatory fee increase ranges</w:t>
      </w:r>
      <w:r w:rsidRPr="009C0829">
        <w:rPr>
          <w:rFonts w:ascii="Times New Roman" w:eastAsia="Calibri" w:hAnsi="Times New Roman" w:cs="Times New Roman"/>
          <w:color w:val="000000"/>
          <w:sz w:val="24"/>
          <w:szCs w:val="24"/>
        </w:rPr>
        <w:t xml:space="preserve"> – THEC suggested a zero to two and a half percent tuition and mandatory fee range at their November 2025 meeting based on their recommended increase in state appropriations. The Commission should vote on a binding limit at their May meeting. With the release of the Governor’s budget, it is anticipated that THEC will approve a range that reflects the level of state appropriation increase for FY27.</w:t>
      </w:r>
    </w:p>
    <w:p w14:paraId="7BB80414" w14:textId="77777777" w:rsidR="009C0829" w:rsidRPr="009C0829" w:rsidRDefault="009C0829" w:rsidP="009C0829">
      <w:pPr>
        <w:numPr>
          <w:ilvl w:val="0"/>
          <w:numId w:val="4"/>
        </w:numPr>
        <w:autoSpaceDE w:val="0"/>
        <w:autoSpaceDN w:val="0"/>
        <w:adjustRightInd w:val="0"/>
        <w:spacing w:after="0" w:line="276" w:lineRule="auto"/>
        <w:jc w:val="both"/>
        <w:rPr>
          <w:rFonts w:ascii="Times New Roman" w:eastAsia="Calibri" w:hAnsi="Times New Roman" w:cs="Times New Roman"/>
          <w:b/>
          <w:color w:val="000000"/>
          <w:sz w:val="24"/>
          <w:szCs w:val="24"/>
        </w:rPr>
      </w:pPr>
      <w:r w:rsidRPr="009C0829">
        <w:rPr>
          <w:rFonts w:ascii="Times New Roman" w:eastAsia="Calibri" w:hAnsi="Times New Roman" w:cs="Times New Roman"/>
          <w:b/>
          <w:color w:val="000000"/>
          <w:sz w:val="24"/>
          <w:szCs w:val="24"/>
        </w:rPr>
        <w:t>Other factors affecting the university’s financial stability:</w:t>
      </w:r>
    </w:p>
    <w:p w14:paraId="5D815A97" w14:textId="77777777" w:rsidR="009C0829" w:rsidRPr="009C0829" w:rsidRDefault="009C0829" w:rsidP="009C0829">
      <w:pPr>
        <w:numPr>
          <w:ilvl w:val="1"/>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color w:val="000000"/>
          <w:sz w:val="24"/>
          <w:szCs w:val="24"/>
        </w:rPr>
        <w:t>Projected student</w:t>
      </w:r>
      <w:r w:rsidRPr="009C0829">
        <w:rPr>
          <w:rFonts w:ascii="Times New Roman" w:eastAsia="Times New Roman" w:hAnsi="Times New Roman" w:cs="Times New Roman"/>
          <w:color w:val="000000"/>
          <w:sz w:val="24"/>
          <w:szCs w:val="24"/>
        </w:rPr>
        <w:t xml:space="preserve"> </w:t>
      </w:r>
      <w:r w:rsidRPr="009C0829">
        <w:rPr>
          <w:rFonts w:ascii="Times New Roman" w:eastAsia="Calibri" w:hAnsi="Times New Roman" w:cs="Times New Roman"/>
          <w:color w:val="000000"/>
          <w:sz w:val="24"/>
          <w:szCs w:val="24"/>
        </w:rPr>
        <w:t>enrollment and university enrollment goals – The university’s enrollment continues to align with enrollment projections, and first-time freshmen enrollment increased over the last four years. The university is continuing efforts and activities to grow enrollment as defined in the strategic plan. Tuition and fees must remain competitive in the marketplace and students should be able to identify the value inherent in the education provided by ETSU over other institutions.</w:t>
      </w:r>
    </w:p>
    <w:p w14:paraId="467D3F47" w14:textId="77777777" w:rsidR="009C0829" w:rsidRPr="009C0829" w:rsidRDefault="009C0829" w:rsidP="009C0829">
      <w:pPr>
        <w:numPr>
          <w:ilvl w:val="1"/>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color w:val="000000"/>
          <w:sz w:val="24"/>
          <w:szCs w:val="24"/>
        </w:rPr>
        <w:t xml:space="preserve">Market and cost factors for higher education – The market for higher education shows a declining number of high school graduates nationally and increased competition from community colleges, other state universities, regional private institutions and border state colleges and universities. Faculty and staff salaries are the primary cost driver for the university. </w:t>
      </w:r>
    </w:p>
    <w:p w14:paraId="4DF15A43" w14:textId="77777777" w:rsidR="009C0829" w:rsidRPr="009C0829" w:rsidRDefault="009C0829" w:rsidP="009C0829">
      <w:pPr>
        <w:numPr>
          <w:ilvl w:val="1"/>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color w:val="000000"/>
          <w:sz w:val="24"/>
          <w:szCs w:val="24"/>
        </w:rPr>
        <w:t xml:space="preserve">New program or new facility cost – Costs related to new programs are largely being absorbed in the colleges per the decentralized budget model. Facility costs have primarily been driven by inflationary costs related to utilities. </w:t>
      </w:r>
    </w:p>
    <w:p w14:paraId="3F20A384" w14:textId="77777777" w:rsidR="009C0829" w:rsidRPr="009C0829" w:rsidRDefault="009C0829" w:rsidP="009C0829">
      <w:pPr>
        <w:numPr>
          <w:ilvl w:val="1"/>
          <w:numId w:val="4"/>
        </w:numPr>
        <w:autoSpaceDE w:val="0"/>
        <w:autoSpaceDN w:val="0"/>
        <w:adjustRightInd w:val="0"/>
        <w:spacing w:after="0" w:line="276" w:lineRule="auto"/>
        <w:jc w:val="both"/>
        <w:rPr>
          <w:rFonts w:ascii="Times New Roman" w:eastAsia="Calibri" w:hAnsi="Times New Roman" w:cs="Times New Roman"/>
          <w:color w:val="000000"/>
          <w:sz w:val="24"/>
          <w:szCs w:val="24"/>
        </w:rPr>
      </w:pPr>
      <w:r w:rsidRPr="009C0829">
        <w:rPr>
          <w:rFonts w:ascii="Times New Roman" w:eastAsia="Calibri" w:hAnsi="Times New Roman" w:cs="Times New Roman"/>
          <w:color w:val="000000"/>
          <w:sz w:val="24"/>
          <w:szCs w:val="24"/>
        </w:rPr>
        <w:t>Cost related to operations, programs of study, or individual courses – Data from THEC show the core Consumer Price Index increased by 3.1 percent in 2025.</w:t>
      </w:r>
    </w:p>
    <w:p w14:paraId="622DDD5C"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4920D88"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21DDE97"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EF12BF0"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552F4AF0"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125AAE3C"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3BDAED7E"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79972A31"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373A8AA5"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tbl>
      <w:tblPr>
        <w:tblW w:w="13910" w:type="dxa"/>
        <w:tblInd w:w="-460" w:type="dxa"/>
        <w:shd w:val="clear" w:color="auto" w:fill="FFFFFF"/>
        <w:tblLook w:val="04A0" w:firstRow="1" w:lastRow="0" w:firstColumn="1" w:lastColumn="0" w:noHBand="0" w:noVBand="1"/>
      </w:tblPr>
      <w:tblGrid>
        <w:gridCol w:w="4530"/>
        <w:gridCol w:w="1416"/>
        <w:gridCol w:w="1416"/>
        <w:gridCol w:w="1416"/>
        <w:gridCol w:w="2292"/>
        <w:gridCol w:w="1204"/>
        <w:gridCol w:w="1636"/>
      </w:tblGrid>
      <w:tr w:rsidR="009C0829" w:rsidRPr="009C0829" w14:paraId="01757296" w14:textId="77777777" w:rsidTr="009C0829">
        <w:trPr>
          <w:trHeight w:val="298"/>
        </w:trPr>
        <w:tc>
          <w:tcPr>
            <w:tcW w:w="4530" w:type="dxa"/>
            <w:tcBorders>
              <w:top w:val="single" w:sz="8" w:space="0" w:color="auto"/>
              <w:left w:val="single" w:sz="8" w:space="0" w:color="auto"/>
              <w:bottom w:val="nil"/>
              <w:right w:val="nil"/>
            </w:tcBorders>
            <w:shd w:val="clear" w:color="auto" w:fill="FFFFFF"/>
            <w:noWrap/>
            <w:vAlign w:val="bottom"/>
            <w:hideMark/>
          </w:tcPr>
          <w:p w14:paraId="72CD0403" w14:textId="77777777" w:rsidR="009C0829" w:rsidRPr="009C0829" w:rsidRDefault="009C0829" w:rsidP="009C0829">
            <w:pPr>
              <w:spacing w:after="0" w:line="240" w:lineRule="auto"/>
              <w:rPr>
                <w:rFonts w:ascii="Calibri" w:eastAsia="Times New Roman" w:hAnsi="Calibri" w:cs="Calibri"/>
                <w:color w:val="000000"/>
                <w:sz w:val="24"/>
                <w:szCs w:val="24"/>
              </w:rPr>
            </w:pPr>
            <w:r w:rsidRPr="009C0829">
              <w:rPr>
                <w:rFonts w:ascii="Calibri" w:eastAsia="Times New Roman" w:hAnsi="Calibri" w:cs="Calibri"/>
                <w:b/>
                <w:color w:val="000000"/>
                <w:sz w:val="24"/>
                <w:szCs w:val="24"/>
              </w:rPr>
              <w:lastRenderedPageBreak/>
              <w:t>Rate per Term</w:t>
            </w:r>
            <w:r w:rsidRPr="009C0829">
              <w:rPr>
                <w:rFonts w:ascii="Calibri" w:eastAsia="Times New Roman" w:hAnsi="Calibri" w:cs="Calibri"/>
                <w:color w:val="000000"/>
                <w:sz w:val="24"/>
                <w:szCs w:val="24"/>
              </w:rPr>
              <w:t> </w:t>
            </w:r>
          </w:p>
        </w:tc>
        <w:tc>
          <w:tcPr>
            <w:tcW w:w="1416" w:type="dxa"/>
            <w:tcBorders>
              <w:top w:val="single" w:sz="8" w:space="0" w:color="auto"/>
              <w:left w:val="nil"/>
              <w:bottom w:val="nil"/>
              <w:right w:val="nil"/>
            </w:tcBorders>
            <w:shd w:val="clear" w:color="auto" w:fill="FFFFFF"/>
            <w:noWrap/>
            <w:vAlign w:val="center"/>
            <w:hideMark/>
          </w:tcPr>
          <w:p w14:paraId="3E1FDA8E"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2025-26</w:t>
            </w:r>
          </w:p>
        </w:tc>
        <w:tc>
          <w:tcPr>
            <w:tcW w:w="1416" w:type="dxa"/>
            <w:tcBorders>
              <w:top w:val="single" w:sz="8" w:space="0" w:color="auto"/>
              <w:left w:val="nil"/>
              <w:bottom w:val="nil"/>
              <w:right w:val="nil"/>
            </w:tcBorders>
            <w:shd w:val="clear" w:color="auto" w:fill="FFFFFF"/>
            <w:noWrap/>
            <w:vAlign w:val="center"/>
            <w:hideMark/>
          </w:tcPr>
          <w:p w14:paraId="67104FF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1416" w:type="dxa"/>
            <w:tcBorders>
              <w:top w:val="single" w:sz="8" w:space="0" w:color="auto"/>
              <w:left w:val="nil"/>
              <w:bottom w:val="nil"/>
              <w:right w:val="nil"/>
            </w:tcBorders>
            <w:shd w:val="clear" w:color="auto" w:fill="FFFFFF"/>
            <w:noWrap/>
            <w:vAlign w:val="center"/>
            <w:hideMark/>
          </w:tcPr>
          <w:p w14:paraId="77D91437"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3496" w:type="dxa"/>
            <w:gridSpan w:val="2"/>
            <w:tcBorders>
              <w:top w:val="single" w:sz="8" w:space="0" w:color="auto"/>
              <w:left w:val="nil"/>
              <w:bottom w:val="single" w:sz="8" w:space="0" w:color="auto"/>
              <w:right w:val="nil"/>
            </w:tcBorders>
            <w:shd w:val="clear" w:color="auto" w:fill="FFFFFF"/>
            <w:noWrap/>
            <w:vAlign w:val="center"/>
            <w:hideMark/>
          </w:tcPr>
          <w:p w14:paraId="5DE97F7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Change</w:t>
            </w:r>
          </w:p>
        </w:tc>
        <w:tc>
          <w:tcPr>
            <w:tcW w:w="1636" w:type="dxa"/>
            <w:tcBorders>
              <w:top w:val="single" w:sz="8" w:space="0" w:color="auto"/>
              <w:left w:val="nil"/>
              <w:bottom w:val="nil"/>
              <w:right w:val="single" w:sz="8" w:space="0" w:color="auto"/>
            </w:tcBorders>
            <w:shd w:val="clear" w:color="auto" w:fill="FFFFFF"/>
            <w:noWrap/>
            <w:vAlign w:val="center"/>
            <w:hideMark/>
          </w:tcPr>
          <w:p w14:paraId="61CC9B7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xml:space="preserve">Additional </w:t>
            </w:r>
          </w:p>
        </w:tc>
      </w:tr>
      <w:tr w:rsidR="009C0829" w:rsidRPr="009C0829" w14:paraId="76D74392"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11B9A11D"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196686FE"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Current</w:t>
            </w:r>
          </w:p>
        </w:tc>
        <w:tc>
          <w:tcPr>
            <w:tcW w:w="1416" w:type="dxa"/>
            <w:tcBorders>
              <w:top w:val="nil"/>
              <w:left w:val="nil"/>
              <w:bottom w:val="nil"/>
              <w:right w:val="nil"/>
            </w:tcBorders>
            <w:shd w:val="clear" w:color="auto" w:fill="FFFFFF"/>
            <w:noWrap/>
            <w:vAlign w:val="center"/>
            <w:hideMark/>
          </w:tcPr>
          <w:p w14:paraId="0D5578C2"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Min</w:t>
            </w:r>
          </w:p>
        </w:tc>
        <w:tc>
          <w:tcPr>
            <w:tcW w:w="1416" w:type="dxa"/>
            <w:tcBorders>
              <w:top w:val="nil"/>
              <w:left w:val="nil"/>
              <w:bottom w:val="nil"/>
              <w:right w:val="nil"/>
            </w:tcBorders>
            <w:shd w:val="clear" w:color="auto" w:fill="FFFFFF"/>
            <w:noWrap/>
            <w:vAlign w:val="center"/>
            <w:hideMark/>
          </w:tcPr>
          <w:p w14:paraId="23066855"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Max</w:t>
            </w:r>
          </w:p>
        </w:tc>
        <w:tc>
          <w:tcPr>
            <w:tcW w:w="2292" w:type="dxa"/>
            <w:tcBorders>
              <w:top w:val="nil"/>
              <w:left w:val="nil"/>
              <w:bottom w:val="single" w:sz="8" w:space="0" w:color="auto"/>
              <w:right w:val="nil"/>
            </w:tcBorders>
            <w:shd w:val="clear" w:color="auto" w:fill="FFFFFF"/>
            <w:noWrap/>
            <w:vAlign w:val="center"/>
            <w:hideMark/>
          </w:tcPr>
          <w:p w14:paraId="47DD4967"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204" w:type="dxa"/>
            <w:tcBorders>
              <w:top w:val="nil"/>
              <w:left w:val="nil"/>
              <w:bottom w:val="single" w:sz="8" w:space="0" w:color="auto"/>
              <w:right w:val="nil"/>
            </w:tcBorders>
            <w:shd w:val="clear" w:color="auto" w:fill="FFFFFF"/>
            <w:noWrap/>
            <w:vAlign w:val="center"/>
            <w:hideMark/>
          </w:tcPr>
          <w:p w14:paraId="0F55BF50"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636" w:type="dxa"/>
            <w:tcBorders>
              <w:top w:val="nil"/>
              <w:left w:val="nil"/>
              <w:bottom w:val="nil"/>
              <w:right w:val="single" w:sz="8" w:space="0" w:color="auto"/>
            </w:tcBorders>
            <w:shd w:val="clear" w:color="auto" w:fill="FFFFFF"/>
            <w:noWrap/>
            <w:vAlign w:val="center"/>
            <w:hideMark/>
          </w:tcPr>
          <w:p w14:paraId="67991569"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Revenue</w:t>
            </w:r>
          </w:p>
        </w:tc>
      </w:tr>
      <w:tr w:rsidR="009C0829" w:rsidRPr="009C0829" w14:paraId="56854740" w14:textId="77777777" w:rsidTr="009C0829">
        <w:trPr>
          <w:trHeight w:val="174"/>
        </w:trPr>
        <w:tc>
          <w:tcPr>
            <w:tcW w:w="4530" w:type="dxa"/>
            <w:tcBorders>
              <w:top w:val="nil"/>
              <w:left w:val="single" w:sz="8" w:space="0" w:color="auto"/>
              <w:bottom w:val="nil"/>
              <w:right w:val="nil"/>
            </w:tcBorders>
            <w:shd w:val="clear" w:color="auto" w:fill="FFFFFF"/>
            <w:noWrap/>
            <w:vAlign w:val="center"/>
            <w:hideMark/>
          </w:tcPr>
          <w:p w14:paraId="3B481D7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single" w:sz="8" w:space="0" w:color="auto"/>
              <w:right w:val="nil"/>
            </w:tcBorders>
            <w:shd w:val="clear" w:color="auto" w:fill="FFFFFF"/>
            <w:noWrap/>
            <w:vAlign w:val="center"/>
            <w:hideMark/>
          </w:tcPr>
          <w:p w14:paraId="58A04283"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single" w:sz="8" w:space="0" w:color="auto"/>
              <w:right w:val="nil"/>
            </w:tcBorders>
            <w:shd w:val="clear" w:color="auto" w:fill="FFFFFF"/>
            <w:noWrap/>
            <w:vAlign w:val="center"/>
            <w:hideMark/>
          </w:tcPr>
          <w:p w14:paraId="17249055" w14:textId="77777777" w:rsidR="009C0829" w:rsidRPr="009C0829" w:rsidRDefault="009C0829" w:rsidP="009C0829">
            <w:pPr>
              <w:spacing w:after="0" w:line="240" w:lineRule="auto"/>
              <w:jc w:val="center"/>
              <w:rPr>
                <w:rFonts w:ascii="Calibri" w:eastAsia="Times New Roman" w:hAnsi="Calibri" w:cs="Calibri"/>
                <w:b/>
                <w:bCs/>
                <w:color w:val="000000"/>
              </w:rPr>
            </w:pPr>
            <w:r w:rsidRPr="009C0829">
              <w:rPr>
                <w:rFonts w:ascii="Calibri" w:eastAsia="Times New Roman" w:hAnsi="Calibri" w:cs="Calibri"/>
                <w:b/>
                <w:bCs/>
                <w:color w:val="000000"/>
              </w:rPr>
              <w:t>2.32%</w:t>
            </w:r>
          </w:p>
        </w:tc>
        <w:tc>
          <w:tcPr>
            <w:tcW w:w="1416" w:type="dxa"/>
            <w:tcBorders>
              <w:top w:val="nil"/>
              <w:left w:val="nil"/>
              <w:bottom w:val="single" w:sz="8" w:space="0" w:color="auto"/>
              <w:right w:val="nil"/>
            </w:tcBorders>
            <w:shd w:val="clear" w:color="auto" w:fill="FFFFFF"/>
            <w:noWrap/>
            <w:vAlign w:val="center"/>
            <w:hideMark/>
          </w:tcPr>
          <w:p w14:paraId="70C1C034" w14:textId="77777777" w:rsidR="009C0829" w:rsidRPr="009C0829" w:rsidRDefault="009C0829" w:rsidP="009C0829">
            <w:pPr>
              <w:spacing w:after="0" w:line="240" w:lineRule="auto"/>
              <w:jc w:val="center"/>
              <w:rPr>
                <w:rFonts w:ascii="Calibri" w:eastAsia="Times New Roman" w:hAnsi="Calibri" w:cs="Calibri"/>
                <w:b/>
                <w:bCs/>
                <w:color w:val="000000"/>
              </w:rPr>
            </w:pPr>
            <w:r w:rsidRPr="009C0829">
              <w:rPr>
                <w:rFonts w:ascii="Calibri" w:eastAsia="Times New Roman" w:hAnsi="Calibri" w:cs="Calibri"/>
                <w:b/>
                <w:bCs/>
                <w:color w:val="000000"/>
              </w:rPr>
              <w:t>4.84%</w:t>
            </w:r>
          </w:p>
        </w:tc>
        <w:tc>
          <w:tcPr>
            <w:tcW w:w="2292" w:type="dxa"/>
            <w:tcBorders>
              <w:top w:val="nil"/>
              <w:left w:val="nil"/>
              <w:bottom w:val="single" w:sz="8" w:space="0" w:color="auto"/>
              <w:right w:val="nil"/>
            </w:tcBorders>
            <w:shd w:val="clear" w:color="auto" w:fill="FFFFFF"/>
            <w:noWrap/>
            <w:vAlign w:val="center"/>
            <w:hideMark/>
          </w:tcPr>
          <w:p w14:paraId="53F774FD"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Min</w:t>
            </w:r>
          </w:p>
        </w:tc>
        <w:tc>
          <w:tcPr>
            <w:tcW w:w="1204" w:type="dxa"/>
            <w:tcBorders>
              <w:top w:val="nil"/>
              <w:left w:val="nil"/>
              <w:bottom w:val="single" w:sz="8" w:space="0" w:color="auto"/>
              <w:right w:val="nil"/>
            </w:tcBorders>
            <w:shd w:val="clear" w:color="auto" w:fill="FFFFFF"/>
            <w:noWrap/>
            <w:vAlign w:val="center"/>
            <w:hideMark/>
          </w:tcPr>
          <w:p w14:paraId="574FEF8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Max</w:t>
            </w:r>
          </w:p>
        </w:tc>
        <w:tc>
          <w:tcPr>
            <w:tcW w:w="1636" w:type="dxa"/>
            <w:tcBorders>
              <w:top w:val="nil"/>
              <w:left w:val="nil"/>
              <w:bottom w:val="single" w:sz="8" w:space="0" w:color="auto"/>
              <w:right w:val="single" w:sz="8" w:space="0" w:color="auto"/>
            </w:tcBorders>
            <w:shd w:val="clear" w:color="auto" w:fill="FFFFFF"/>
            <w:noWrap/>
            <w:vAlign w:val="center"/>
            <w:hideMark/>
          </w:tcPr>
          <w:p w14:paraId="30A574F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4C40C160"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520B5770"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Undergraduate In State (15 Credit Hours)</w:t>
            </w:r>
          </w:p>
        </w:tc>
        <w:tc>
          <w:tcPr>
            <w:tcW w:w="1416" w:type="dxa"/>
            <w:tcBorders>
              <w:top w:val="nil"/>
              <w:left w:val="nil"/>
              <w:bottom w:val="nil"/>
              <w:right w:val="nil"/>
            </w:tcBorders>
            <w:shd w:val="clear" w:color="auto" w:fill="FFFFFF"/>
            <w:noWrap/>
            <w:vAlign w:val="center"/>
            <w:hideMark/>
          </w:tcPr>
          <w:p w14:paraId="182640D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0E91B00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061ABA10"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4A60B02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7A52DF25"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58478ED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045126EA"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6B475AD6"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In State Undergraduate </w:t>
            </w:r>
          </w:p>
        </w:tc>
        <w:tc>
          <w:tcPr>
            <w:tcW w:w="1416" w:type="dxa"/>
            <w:tcBorders>
              <w:top w:val="nil"/>
              <w:left w:val="nil"/>
              <w:bottom w:val="nil"/>
              <w:right w:val="nil"/>
            </w:tcBorders>
            <w:shd w:val="clear" w:color="auto" w:fill="FFFFFF"/>
            <w:noWrap/>
            <w:vAlign w:val="center"/>
            <w:hideMark/>
          </w:tcPr>
          <w:p w14:paraId="2B74B13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$4,401 </w:t>
            </w:r>
          </w:p>
        </w:tc>
        <w:tc>
          <w:tcPr>
            <w:tcW w:w="1416" w:type="dxa"/>
            <w:tcBorders>
              <w:top w:val="nil"/>
              <w:left w:val="nil"/>
              <w:bottom w:val="nil"/>
              <w:right w:val="nil"/>
            </w:tcBorders>
            <w:shd w:val="clear" w:color="auto" w:fill="FFFFFF"/>
            <w:noWrap/>
            <w:vAlign w:val="center"/>
            <w:hideMark/>
          </w:tcPr>
          <w:p w14:paraId="36BF4CF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$4,503 </w:t>
            </w:r>
          </w:p>
        </w:tc>
        <w:tc>
          <w:tcPr>
            <w:tcW w:w="1416" w:type="dxa"/>
            <w:tcBorders>
              <w:top w:val="nil"/>
              <w:left w:val="nil"/>
              <w:bottom w:val="nil"/>
              <w:right w:val="nil"/>
            </w:tcBorders>
            <w:shd w:val="clear" w:color="auto" w:fill="FFFFFF"/>
            <w:noWrap/>
            <w:vAlign w:val="center"/>
            <w:hideMark/>
          </w:tcPr>
          <w:p w14:paraId="63F9871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$4,614 </w:t>
            </w:r>
          </w:p>
        </w:tc>
        <w:tc>
          <w:tcPr>
            <w:tcW w:w="2292" w:type="dxa"/>
            <w:tcBorders>
              <w:top w:val="nil"/>
              <w:left w:val="nil"/>
              <w:bottom w:val="nil"/>
              <w:right w:val="nil"/>
            </w:tcBorders>
            <w:shd w:val="clear" w:color="auto" w:fill="FFFFFF"/>
            <w:noWrap/>
            <w:vAlign w:val="center"/>
            <w:hideMark/>
          </w:tcPr>
          <w:p w14:paraId="76C0368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$102 </w:t>
            </w:r>
          </w:p>
        </w:tc>
        <w:tc>
          <w:tcPr>
            <w:tcW w:w="1204" w:type="dxa"/>
            <w:tcBorders>
              <w:top w:val="nil"/>
              <w:left w:val="nil"/>
              <w:bottom w:val="nil"/>
              <w:right w:val="nil"/>
            </w:tcBorders>
            <w:shd w:val="clear" w:color="auto" w:fill="FFFFFF"/>
            <w:noWrap/>
            <w:vAlign w:val="center"/>
            <w:hideMark/>
          </w:tcPr>
          <w:p w14:paraId="46F8A33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$213 </w:t>
            </w:r>
          </w:p>
        </w:tc>
        <w:tc>
          <w:tcPr>
            <w:tcW w:w="1636" w:type="dxa"/>
            <w:tcBorders>
              <w:top w:val="nil"/>
              <w:left w:val="single" w:sz="8" w:space="0" w:color="auto"/>
              <w:bottom w:val="nil"/>
              <w:right w:val="single" w:sz="8" w:space="0" w:color="auto"/>
            </w:tcBorders>
            <w:shd w:val="clear" w:color="auto" w:fill="FFFFFF"/>
            <w:noWrap/>
            <w:vAlign w:val="center"/>
            <w:hideMark/>
          </w:tcPr>
          <w:p w14:paraId="4B9A94F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156D1E34"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384EA36B"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In State Undergraduate </w:t>
            </w:r>
          </w:p>
        </w:tc>
        <w:tc>
          <w:tcPr>
            <w:tcW w:w="1416" w:type="dxa"/>
            <w:tcBorders>
              <w:top w:val="single" w:sz="8" w:space="0" w:color="auto"/>
              <w:left w:val="nil"/>
              <w:bottom w:val="double" w:sz="6" w:space="0" w:color="auto"/>
              <w:right w:val="nil"/>
            </w:tcBorders>
            <w:shd w:val="clear" w:color="auto" w:fill="FFFFFF"/>
            <w:noWrap/>
            <w:vAlign w:val="center"/>
            <w:hideMark/>
          </w:tcPr>
          <w:p w14:paraId="3BE0137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$4,401 </w:t>
            </w:r>
          </w:p>
        </w:tc>
        <w:tc>
          <w:tcPr>
            <w:tcW w:w="1416" w:type="dxa"/>
            <w:tcBorders>
              <w:top w:val="single" w:sz="8" w:space="0" w:color="auto"/>
              <w:left w:val="nil"/>
              <w:bottom w:val="double" w:sz="6" w:space="0" w:color="auto"/>
              <w:right w:val="nil"/>
            </w:tcBorders>
            <w:shd w:val="clear" w:color="auto" w:fill="FFFFFF"/>
            <w:noWrap/>
            <w:vAlign w:val="center"/>
            <w:hideMark/>
          </w:tcPr>
          <w:p w14:paraId="1E58978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$4,503 </w:t>
            </w:r>
          </w:p>
        </w:tc>
        <w:tc>
          <w:tcPr>
            <w:tcW w:w="1416" w:type="dxa"/>
            <w:tcBorders>
              <w:top w:val="single" w:sz="8" w:space="0" w:color="auto"/>
              <w:left w:val="nil"/>
              <w:bottom w:val="double" w:sz="6" w:space="0" w:color="auto"/>
              <w:right w:val="nil"/>
            </w:tcBorders>
            <w:shd w:val="clear" w:color="auto" w:fill="FFFFFF"/>
            <w:noWrap/>
            <w:vAlign w:val="center"/>
            <w:hideMark/>
          </w:tcPr>
          <w:p w14:paraId="47B9C5D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$4,614 </w:t>
            </w:r>
          </w:p>
        </w:tc>
        <w:tc>
          <w:tcPr>
            <w:tcW w:w="2292" w:type="dxa"/>
            <w:tcBorders>
              <w:top w:val="single" w:sz="8" w:space="0" w:color="auto"/>
              <w:left w:val="nil"/>
              <w:bottom w:val="double" w:sz="6" w:space="0" w:color="auto"/>
              <w:right w:val="nil"/>
            </w:tcBorders>
            <w:shd w:val="clear" w:color="auto" w:fill="FFFFFF"/>
            <w:noWrap/>
            <w:vAlign w:val="center"/>
            <w:hideMark/>
          </w:tcPr>
          <w:p w14:paraId="3CE7EB5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$102 </w:t>
            </w:r>
          </w:p>
        </w:tc>
        <w:tc>
          <w:tcPr>
            <w:tcW w:w="1204" w:type="dxa"/>
            <w:tcBorders>
              <w:top w:val="single" w:sz="8" w:space="0" w:color="auto"/>
              <w:left w:val="nil"/>
              <w:bottom w:val="double" w:sz="6" w:space="0" w:color="auto"/>
              <w:right w:val="nil"/>
            </w:tcBorders>
            <w:shd w:val="clear" w:color="auto" w:fill="FFFFFF"/>
            <w:noWrap/>
            <w:vAlign w:val="center"/>
            <w:hideMark/>
          </w:tcPr>
          <w:p w14:paraId="283BB2A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$213 </w:t>
            </w:r>
          </w:p>
        </w:tc>
        <w:tc>
          <w:tcPr>
            <w:tcW w:w="1636" w:type="dxa"/>
            <w:tcBorders>
              <w:top w:val="nil"/>
              <w:left w:val="single" w:sz="8" w:space="0" w:color="auto"/>
              <w:bottom w:val="nil"/>
              <w:right w:val="single" w:sz="8" w:space="0" w:color="auto"/>
            </w:tcBorders>
            <w:shd w:val="clear" w:color="auto" w:fill="FFFFFF"/>
            <w:noWrap/>
            <w:vAlign w:val="center"/>
            <w:hideMark/>
          </w:tcPr>
          <w:p w14:paraId="1541B94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28348ECF" w14:textId="77777777" w:rsidTr="009C0829">
        <w:trPr>
          <w:trHeight w:val="149"/>
        </w:trPr>
        <w:tc>
          <w:tcPr>
            <w:tcW w:w="4530" w:type="dxa"/>
            <w:tcBorders>
              <w:top w:val="nil"/>
              <w:left w:val="single" w:sz="8" w:space="0" w:color="auto"/>
              <w:bottom w:val="nil"/>
              <w:right w:val="nil"/>
            </w:tcBorders>
            <w:shd w:val="clear" w:color="auto" w:fill="FFFFFF"/>
            <w:noWrap/>
            <w:vAlign w:val="center"/>
            <w:hideMark/>
          </w:tcPr>
          <w:p w14:paraId="162C62B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3FD3FEA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42DDA71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4C5FBCF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0FE18F5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5B44281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60C2B20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0FA5D232"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035773FE"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Undergraduate Out of State (15 Credit Hours)</w:t>
            </w:r>
          </w:p>
        </w:tc>
        <w:tc>
          <w:tcPr>
            <w:tcW w:w="1416" w:type="dxa"/>
            <w:tcBorders>
              <w:top w:val="nil"/>
              <w:left w:val="nil"/>
              <w:bottom w:val="nil"/>
              <w:right w:val="nil"/>
            </w:tcBorders>
            <w:shd w:val="clear" w:color="auto" w:fill="FFFFFF"/>
            <w:noWrap/>
            <w:vAlign w:val="center"/>
            <w:hideMark/>
          </w:tcPr>
          <w:p w14:paraId="4D09941D"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0384094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7B63F1F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44461AB2"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507AFEA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1987F3E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6B002D3F"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677D8EBF"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 State Undergraduate</w:t>
            </w:r>
          </w:p>
        </w:tc>
        <w:tc>
          <w:tcPr>
            <w:tcW w:w="1416" w:type="dxa"/>
            <w:tcBorders>
              <w:top w:val="nil"/>
              <w:left w:val="nil"/>
              <w:bottom w:val="nil"/>
              <w:right w:val="nil"/>
            </w:tcBorders>
            <w:shd w:val="clear" w:color="auto" w:fill="FFFFFF"/>
            <w:noWrap/>
            <w:vAlign w:val="center"/>
            <w:hideMark/>
          </w:tcPr>
          <w:p w14:paraId="56DA1345"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$4,401 </w:t>
            </w:r>
          </w:p>
        </w:tc>
        <w:tc>
          <w:tcPr>
            <w:tcW w:w="1416" w:type="dxa"/>
            <w:tcBorders>
              <w:top w:val="nil"/>
              <w:left w:val="nil"/>
              <w:bottom w:val="nil"/>
              <w:right w:val="nil"/>
            </w:tcBorders>
            <w:shd w:val="clear" w:color="auto" w:fill="FFFFFF"/>
            <w:noWrap/>
            <w:vAlign w:val="center"/>
            <w:hideMark/>
          </w:tcPr>
          <w:p w14:paraId="07222EC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$4,503 </w:t>
            </w:r>
          </w:p>
        </w:tc>
        <w:tc>
          <w:tcPr>
            <w:tcW w:w="1416" w:type="dxa"/>
            <w:tcBorders>
              <w:top w:val="nil"/>
              <w:left w:val="nil"/>
              <w:bottom w:val="nil"/>
              <w:right w:val="nil"/>
            </w:tcBorders>
            <w:shd w:val="clear" w:color="auto" w:fill="FFFFFF"/>
            <w:noWrap/>
            <w:vAlign w:val="center"/>
            <w:hideMark/>
          </w:tcPr>
          <w:p w14:paraId="4568A98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$4,614 </w:t>
            </w:r>
          </w:p>
        </w:tc>
        <w:tc>
          <w:tcPr>
            <w:tcW w:w="2292" w:type="dxa"/>
            <w:tcBorders>
              <w:top w:val="nil"/>
              <w:left w:val="nil"/>
              <w:bottom w:val="nil"/>
              <w:right w:val="nil"/>
            </w:tcBorders>
            <w:shd w:val="clear" w:color="auto" w:fill="FFFFFF"/>
            <w:noWrap/>
            <w:vAlign w:val="center"/>
            <w:hideMark/>
          </w:tcPr>
          <w:p w14:paraId="5B3BC2A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$102 </w:t>
            </w:r>
          </w:p>
        </w:tc>
        <w:tc>
          <w:tcPr>
            <w:tcW w:w="1204" w:type="dxa"/>
            <w:tcBorders>
              <w:top w:val="nil"/>
              <w:left w:val="nil"/>
              <w:bottom w:val="nil"/>
              <w:right w:val="nil"/>
            </w:tcBorders>
            <w:shd w:val="clear" w:color="auto" w:fill="FFFFFF"/>
            <w:noWrap/>
            <w:vAlign w:val="center"/>
            <w:hideMark/>
          </w:tcPr>
          <w:p w14:paraId="1EA880FA"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$213 </w:t>
            </w:r>
          </w:p>
        </w:tc>
        <w:tc>
          <w:tcPr>
            <w:tcW w:w="1636" w:type="dxa"/>
            <w:tcBorders>
              <w:top w:val="nil"/>
              <w:left w:val="single" w:sz="8" w:space="0" w:color="auto"/>
              <w:bottom w:val="nil"/>
              <w:right w:val="single" w:sz="8" w:space="0" w:color="auto"/>
            </w:tcBorders>
            <w:shd w:val="clear" w:color="auto" w:fill="FFFFFF"/>
            <w:noWrap/>
            <w:vAlign w:val="center"/>
            <w:hideMark/>
          </w:tcPr>
          <w:p w14:paraId="4168C2A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3293214D"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00D4CD04"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Out of State Tuition</w:t>
            </w:r>
          </w:p>
        </w:tc>
        <w:tc>
          <w:tcPr>
            <w:tcW w:w="1416" w:type="dxa"/>
            <w:tcBorders>
              <w:top w:val="nil"/>
              <w:left w:val="nil"/>
              <w:bottom w:val="nil"/>
              <w:right w:val="nil"/>
            </w:tcBorders>
            <w:shd w:val="clear" w:color="auto" w:fill="FFFFFF"/>
            <w:noWrap/>
            <w:vAlign w:val="center"/>
            <w:hideMark/>
          </w:tcPr>
          <w:p w14:paraId="7EC9C12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$9,846 </w:t>
            </w:r>
          </w:p>
        </w:tc>
        <w:tc>
          <w:tcPr>
            <w:tcW w:w="1416" w:type="dxa"/>
            <w:tcBorders>
              <w:top w:val="nil"/>
              <w:left w:val="nil"/>
              <w:bottom w:val="nil"/>
              <w:right w:val="nil"/>
            </w:tcBorders>
            <w:shd w:val="clear" w:color="auto" w:fill="FFFFFF"/>
            <w:noWrap/>
            <w:vAlign w:val="center"/>
            <w:hideMark/>
          </w:tcPr>
          <w:p w14:paraId="1D03156A"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$10,086 </w:t>
            </w:r>
          </w:p>
        </w:tc>
        <w:tc>
          <w:tcPr>
            <w:tcW w:w="1416" w:type="dxa"/>
            <w:tcBorders>
              <w:top w:val="nil"/>
              <w:left w:val="nil"/>
              <w:bottom w:val="nil"/>
              <w:right w:val="nil"/>
            </w:tcBorders>
            <w:shd w:val="clear" w:color="auto" w:fill="FFFFFF"/>
            <w:noWrap/>
            <w:vAlign w:val="center"/>
            <w:hideMark/>
          </w:tcPr>
          <w:p w14:paraId="1A593D48"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$10,326 </w:t>
            </w:r>
          </w:p>
        </w:tc>
        <w:tc>
          <w:tcPr>
            <w:tcW w:w="2292" w:type="dxa"/>
            <w:tcBorders>
              <w:top w:val="nil"/>
              <w:left w:val="nil"/>
              <w:bottom w:val="nil"/>
              <w:right w:val="nil"/>
            </w:tcBorders>
            <w:shd w:val="clear" w:color="auto" w:fill="FFFFFF"/>
            <w:noWrap/>
            <w:vAlign w:val="center"/>
            <w:hideMark/>
          </w:tcPr>
          <w:p w14:paraId="6C90A85A"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$240 </w:t>
            </w:r>
          </w:p>
        </w:tc>
        <w:tc>
          <w:tcPr>
            <w:tcW w:w="1204" w:type="dxa"/>
            <w:tcBorders>
              <w:top w:val="nil"/>
              <w:left w:val="nil"/>
              <w:bottom w:val="nil"/>
              <w:right w:val="nil"/>
            </w:tcBorders>
            <w:shd w:val="clear" w:color="auto" w:fill="FFFFFF"/>
            <w:noWrap/>
            <w:vAlign w:val="center"/>
            <w:hideMark/>
          </w:tcPr>
          <w:p w14:paraId="0497838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$480 </w:t>
            </w:r>
          </w:p>
        </w:tc>
        <w:tc>
          <w:tcPr>
            <w:tcW w:w="1636" w:type="dxa"/>
            <w:tcBorders>
              <w:top w:val="nil"/>
              <w:left w:val="single" w:sz="8" w:space="0" w:color="auto"/>
              <w:bottom w:val="nil"/>
              <w:right w:val="single" w:sz="8" w:space="0" w:color="auto"/>
            </w:tcBorders>
            <w:shd w:val="clear" w:color="auto" w:fill="FFFFFF"/>
            <w:noWrap/>
            <w:vAlign w:val="center"/>
            <w:hideMark/>
          </w:tcPr>
          <w:p w14:paraId="439E7FA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78A38AEE"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51714A55"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Out of State Undergraduate </w:t>
            </w:r>
          </w:p>
        </w:tc>
        <w:tc>
          <w:tcPr>
            <w:tcW w:w="1416" w:type="dxa"/>
            <w:tcBorders>
              <w:top w:val="single" w:sz="8" w:space="0" w:color="auto"/>
              <w:left w:val="nil"/>
              <w:bottom w:val="double" w:sz="6" w:space="0" w:color="auto"/>
              <w:right w:val="nil"/>
            </w:tcBorders>
            <w:shd w:val="clear" w:color="auto" w:fill="FFFFFF"/>
            <w:noWrap/>
            <w:vAlign w:val="center"/>
            <w:hideMark/>
          </w:tcPr>
          <w:p w14:paraId="023D840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$14,247 </w:t>
            </w:r>
          </w:p>
        </w:tc>
        <w:tc>
          <w:tcPr>
            <w:tcW w:w="1416" w:type="dxa"/>
            <w:tcBorders>
              <w:top w:val="single" w:sz="8" w:space="0" w:color="auto"/>
              <w:left w:val="nil"/>
              <w:bottom w:val="double" w:sz="6" w:space="0" w:color="auto"/>
              <w:right w:val="nil"/>
            </w:tcBorders>
            <w:shd w:val="clear" w:color="auto" w:fill="FFFFFF"/>
            <w:noWrap/>
            <w:vAlign w:val="center"/>
            <w:hideMark/>
          </w:tcPr>
          <w:p w14:paraId="0CFF08F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$14,589 </w:t>
            </w:r>
          </w:p>
        </w:tc>
        <w:tc>
          <w:tcPr>
            <w:tcW w:w="1416" w:type="dxa"/>
            <w:tcBorders>
              <w:top w:val="single" w:sz="8" w:space="0" w:color="auto"/>
              <w:left w:val="nil"/>
              <w:bottom w:val="double" w:sz="6" w:space="0" w:color="auto"/>
              <w:right w:val="nil"/>
            </w:tcBorders>
            <w:shd w:val="clear" w:color="auto" w:fill="FFFFFF"/>
            <w:noWrap/>
            <w:vAlign w:val="center"/>
            <w:hideMark/>
          </w:tcPr>
          <w:p w14:paraId="2F08A2D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$14,940 </w:t>
            </w:r>
          </w:p>
        </w:tc>
        <w:tc>
          <w:tcPr>
            <w:tcW w:w="2292" w:type="dxa"/>
            <w:tcBorders>
              <w:top w:val="single" w:sz="8" w:space="0" w:color="auto"/>
              <w:left w:val="nil"/>
              <w:bottom w:val="double" w:sz="6" w:space="0" w:color="auto"/>
              <w:right w:val="nil"/>
            </w:tcBorders>
            <w:shd w:val="clear" w:color="auto" w:fill="FFFFFF"/>
            <w:noWrap/>
            <w:vAlign w:val="center"/>
            <w:hideMark/>
          </w:tcPr>
          <w:p w14:paraId="795BBCC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$342 </w:t>
            </w:r>
          </w:p>
        </w:tc>
        <w:tc>
          <w:tcPr>
            <w:tcW w:w="1204" w:type="dxa"/>
            <w:tcBorders>
              <w:top w:val="single" w:sz="8" w:space="0" w:color="auto"/>
              <w:left w:val="nil"/>
              <w:bottom w:val="double" w:sz="6" w:space="0" w:color="auto"/>
              <w:right w:val="nil"/>
            </w:tcBorders>
            <w:shd w:val="clear" w:color="auto" w:fill="FFFFFF"/>
            <w:noWrap/>
            <w:vAlign w:val="center"/>
            <w:hideMark/>
          </w:tcPr>
          <w:p w14:paraId="4F6709F5"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$693 </w:t>
            </w:r>
          </w:p>
        </w:tc>
        <w:tc>
          <w:tcPr>
            <w:tcW w:w="1636" w:type="dxa"/>
            <w:tcBorders>
              <w:top w:val="nil"/>
              <w:left w:val="single" w:sz="8" w:space="0" w:color="auto"/>
              <w:bottom w:val="nil"/>
              <w:right w:val="single" w:sz="8" w:space="0" w:color="auto"/>
            </w:tcBorders>
            <w:shd w:val="clear" w:color="auto" w:fill="FFFFFF"/>
            <w:noWrap/>
            <w:vAlign w:val="center"/>
            <w:hideMark/>
          </w:tcPr>
          <w:p w14:paraId="3EF5D97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41B3161E" w14:textId="77777777" w:rsidTr="009C0829">
        <w:trPr>
          <w:trHeight w:val="114"/>
        </w:trPr>
        <w:tc>
          <w:tcPr>
            <w:tcW w:w="4530" w:type="dxa"/>
            <w:tcBorders>
              <w:top w:val="nil"/>
              <w:left w:val="single" w:sz="8" w:space="0" w:color="auto"/>
              <w:bottom w:val="nil"/>
              <w:right w:val="nil"/>
            </w:tcBorders>
            <w:shd w:val="clear" w:color="auto" w:fill="FFFFFF"/>
            <w:noWrap/>
            <w:vAlign w:val="center"/>
            <w:hideMark/>
          </w:tcPr>
          <w:p w14:paraId="3515C638"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1F6232A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153D0DA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6240835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5FFCC1F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7EA9A3CD"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4CFDDA78"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xml:space="preserve">$2,705,448 </w:t>
            </w:r>
          </w:p>
        </w:tc>
      </w:tr>
      <w:tr w:rsidR="009C0829" w:rsidRPr="009C0829" w14:paraId="582BDD63"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0E6465A7"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Undergraduate Five State (15 Credit Hours)</w:t>
            </w:r>
          </w:p>
        </w:tc>
        <w:tc>
          <w:tcPr>
            <w:tcW w:w="1416" w:type="dxa"/>
            <w:tcBorders>
              <w:top w:val="nil"/>
              <w:left w:val="nil"/>
              <w:bottom w:val="nil"/>
              <w:right w:val="nil"/>
            </w:tcBorders>
            <w:shd w:val="clear" w:color="auto" w:fill="FFFFFF"/>
            <w:noWrap/>
            <w:vAlign w:val="center"/>
            <w:hideMark/>
          </w:tcPr>
          <w:p w14:paraId="3C9C689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57658082"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6BFFEDA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544C946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18E7108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73712F2E"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(min)</w:t>
            </w:r>
          </w:p>
        </w:tc>
      </w:tr>
      <w:tr w:rsidR="009C0829" w:rsidRPr="009C0829" w14:paraId="1BD30715"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25D90B8A"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 State Undergraduate</w:t>
            </w:r>
          </w:p>
        </w:tc>
        <w:tc>
          <w:tcPr>
            <w:tcW w:w="1416" w:type="dxa"/>
            <w:tcBorders>
              <w:top w:val="nil"/>
              <w:left w:val="nil"/>
              <w:bottom w:val="nil"/>
              <w:right w:val="nil"/>
            </w:tcBorders>
            <w:shd w:val="clear" w:color="auto" w:fill="FFFFFF"/>
            <w:noWrap/>
            <w:vAlign w:val="center"/>
            <w:hideMark/>
          </w:tcPr>
          <w:p w14:paraId="129C682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$4,401 </w:t>
            </w:r>
          </w:p>
        </w:tc>
        <w:tc>
          <w:tcPr>
            <w:tcW w:w="1416" w:type="dxa"/>
            <w:tcBorders>
              <w:top w:val="nil"/>
              <w:left w:val="nil"/>
              <w:bottom w:val="nil"/>
              <w:right w:val="nil"/>
            </w:tcBorders>
            <w:shd w:val="clear" w:color="auto" w:fill="FFFFFF"/>
            <w:noWrap/>
            <w:vAlign w:val="center"/>
            <w:hideMark/>
          </w:tcPr>
          <w:p w14:paraId="1555654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$4,503 </w:t>
            </w:r>
          </w:p>
        </w:tc>
        <w:tc>
          <w:tcPr>
            <w:tcW w:w="1416" w:type="dxa"/>
            <w:tcBorders>
              <w:top w:val="nil"/>
              <w:left w:val="nil"/>
              <w:bottom w:val="nil"/>
              <w:right w:val="nil"/>
            </w:tcBorders>
            <w:shd w:val="clear" w:color="auto" w:fill="FFFFFF"/>
            <w:noWrap/>
            <w:vAlign w:val="center"/>
            <w:hideMark/>
          </w:tcPr>
          <w:p w14:paraId="081B5A5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$4,614 </w:t>
            </w:r>
          </w:p>
        </w:tc>
        <w:tc>
          <w:tcPr>
            <w:tcW w:w="2292" w:type="dxa"/>
            <w:tcBorders>
              <w:top w:val="nil"/>
              <w:left w:val="nil"/>
              <w:bottom w:val="nil"/>
              <w:right w:val="nil"/>
            </w:tcBorders>
            <w:shd w:val="clear" w:color="auto" w:fill="FFFFFF"/>
            <w:noWrap/>
            <w:vAlign w:val="center"/>
            <w:hideMark/>
          </w:tcPr>
          <w:p w14:paraId="1C64A32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$102 </w:t>
            </w:r>
          </w:p>
        </w:tc>
        <w:tc>
          <w:tcPr>
            <w:tcW w:w="1204" w:type="dxa"/>
            <w:tcBorders>
              <w:top w:val="nil"/>
              <w:left w:val="nil"/>
              <w:bottom w:val="nil"/>
              <w:right w:val="nil"/>
            </w:tcBorders>
            <w:shd w:val="clear" w:color="auto" w:fill="FFFFFF"/>
            <w:noWrap/>
            <w:vAlign w:val="center"/>
            <w:hideMark/>
          </w:tcPr>
          <w:p w14:paraId="5BD2EA5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$213 </w:t>
            </w:r>
          </w:p>
        </w:tc>
        <w:tc>
          <w:tcPr>
            <w:tcW w:w="1636" w:type="dxa"/>
            <w:tcBorders>
              <w:top w:val="nil"/>
              <w:left w:val="single" w:sz="8" w:space="0" w:color="auto"/>
              <w:bottom w:val="nil"/>
              <w:right w:val="single" w:sz="8" w:space="0" w:color="auto"/>
            </w:tcBorders>
            <w:shd w:val="clear" w:color="auto" w:fill="FFFFFF"/>
            <w:noWrap/>
            <w:vAlign w:val="center"/>
            <w:hideMark/>
          </w:tcPr>
          <w:p w14:paraId="45745AF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7927FEC7"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09C37771"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Five State Tuition</w:t>
            </w:r>
          </w:p>
        </w:tc>
        <w:tc>
          <w:tcPr>
            <w:tcW w:w="1416" w:type="dxa"/>
            <w:tcBorders>
              <w:top w:val="nil"/>
              <w:left w:val="nil"/>
              <w:bottom w:val="nil"/>
              <w:right w:val="nil"/>
            </w:tcBorders>
            <w:shd w:val="clear" w:color="auto" w:fill="FFFFFF"/>
            <w:noWrap/>
            <w:vAlign w:val="center"/>
            <w:hideMark/>
          </w:tcPr>
          <w:p w14:paraId="2AC9D01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 </w:t>
            </w:r>
          </w:p>
        </w:tc>
        <w:tc>
          <w:tcPr>
            <w:tcW w:w="1416" w:type="dxa"/>
            <w:tcBorders>
              <w:top w:val="nil"/>
              <w:left w:val="nil"/>
              <w:bottom w:val="nil"/>
              <w:right w:val="nil"/>
            </w:tcBorders>
            <w:shd w:val="clear" w:color="auto" w:fill="FFFFFF"/>
            <w:noWrap/>
            <w:vAlign w:val="center"/>
            <w:hideMark/>
          </w:tcPr>
          <w:p w14:paraId="1B41CCD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$465 </w:t>
            </w:r>
          </w:p>
        </w:tc>
        <w:tc>
          <w:tcPr>
            <w:tcW w:w="1416" w:type="dxa"/>
            <w:tcBorders>
              <w:top w:val="nil"/>
              <w:left w:val="nil"/>
              <w:bottom w:val="nil"/>
              <w:right w:val="nil"/>
            </w:tcBorders>
            <w:shd w:val="clear" w:color="auto" w:fill="FFFFFF"/>
            <w:noWrap/>
            <w:vAlign w:val="center"/>
            <w:hideMark/>
          </w:tcPr>
          <w:p w14:paraId="465D1C7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$472 </w:t>
            </w:r>
          </w:p>
        </w:tc>
        <w:tc>
          <w:tcPr>
            <w:tcW w:w="2292" w:type="dxa"/>
            <w:tcBorders>
              <w:top w:val="nil"/>
              <w:left w:val="nil"/>
              <w:bottom w:val="nil"/>
              <w:right w:val="nil"/>
            </w:tcBorders>
            <w:shd w:val="clear" w:color="auto" w:fill="FFFFFF"/>
            <w:noWrap/>
            <w:vAlign w:val="center"/>
            <w:hideMark/>
          </w:tcPr>
          <w:p w14:paraId="7D18F2F0"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$15 </w:t>
            </w:r>
          </w:p>
        </w:tc>
        <w:tc>
          <w:tcPr>
            <w:tcW w:w="1204" w:type="dxa"/>
            <w:tcBorders>
              <w:top w:val="nil"/>
              <w:left w:val="nil"/>
              <w:bottom w:val="nil"/>
              <w:right w:val="nil"/>
            </w:tcBorders>
            <w:shd w:val="clear" w:color="auto" w:fill="FFFFFF"/>
            <w:noWrap/>
            <w:vAlign w:val="center"/>
            <w:hideMark/>
          </w:tcPr>
          <w:p w14:paraId="412CE3D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$22 </w:t>
            </w:r>
          </w:p>
        </w:tc>
        <w:tc>
          <w:tcPr>
            <w:tcW w:w="1636" w:type="dxa"/>
            <w:tcBorders>
              <w:top w:val="nil"/>
              <w:left w:val="single" w:sz="8" w:space="0" w:color="auto"/>
              <w:bottom w:val="nil"/>
              <w:right w:val="single" w:sz="8" w:space="0" w:color="auto"/>
            </w:tcBorders>
            <w:shd w:val="clear" w:color="auto" w:fill="FFFFFF"/>
            <w:noWrap/>
            <w:vAlign w:val="center"/>
            <w:hideMark/>
          </w:tcPr>
          <w:p w14:paraId="722E66BB"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xml:space="preserve">$5,649,612 </w:t>
            </w:r>
          </w:p>
        </w:tc>
      </w:tr>
      <w:tr w:rsidR="009C0829" w:rsidRPr="009C0829" w14:paraId="30C3FABD"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0E661966"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Five State Undergraduate </w:t>
            </w:r>
          </w:p>
        </w:tc>
        <w:tc>
          <w:tcPr>
            <w:tcW w:w="1416" w:type="dxa"/>
            <w:tcBorders>
              <w:top w:val="single" w:sz="8" w:space="0" w:color="auto"/>
              <w:left w:val="nil"/>
              <w:bottom w:val="double" w:sz="6" w:space="0" w:color="auto"/>
              <w:right w:val="nil"/>
            </w:tcBorders>
            <w:shd w:val="clear" w:color="auto" w:fill="FFFFFF"/>
            <w:noWrap/>
            <w:vAlign w:val="center"/>
            <w:hideMark/>
          </w:tcPr>
          <w:p w14:paraId="7DE9105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$4,851 </w:t>
            </w:r>
          </w:p>
        </w:tc>
        <w:tc>
          <w:tcPr>
            <w:tcW w:w="1416" w:type="dxa"/>
            <w:tcBorders>
              <w:top w:val="single" w:sz="8" w:space="0" w:color="auto"/>
              <w:left w:val="nil"/>
              <w:bottom w:val="double" w:sz="6" w:space="0" w:color="auto"/>
              <w:right w:val="nil"/>
            </w:tcBorders>
            <w:shd w:val="clear" w:color="auto" w:fill="FFFFFF"/>
            <w:noWrap/>
            <w:vAlign w:val="center"/>
            <w:hideMark/>
          </w:tcPr>
          <w:p w14:paraId="71246225"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$4,968 </w:t>
            </w:r>
          </w:p>
        </w:tc>
        <w:tc>
          <w:tcPr>
            <w:tcW w:w="1416" w:type="dxa"/>
            <w:tcBorders>
              <w:top w:val="single" w:sz="8" w:space="0" w:color="auto"/>
              <w:left w:val="nil"/>
              <w:bottom w:val="double" w:sz="6" w:space="0" w:color="auto"/>
              <w:right w:val="nil"/>
            </w:tcBorders>
            <w:shd w:val="clear" w:color="auto" w:fill="FFFFFF"/>
            <w:noWrap/>
            <w:vAlign w:val="center"/>
            <w:hideMark/>
          </w:tcPr>
          <w:p w14:paraId="1BD61A8F"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$5,086 </w:t>
            </w:r>
          </w:p>
        </w:tc>
        <w:tc>
          <w:tcPr>
            <w:tcW w:w="2292" w:type="dxa"/>
            <w:tcBorders>
              <w:top w:val="single" w:sz="8" w:space="0" w:color="auto"/>
              <w:left w:val="nil"/>
              <w:bottom w:val="double" w:sz="6" w:space="0" w:color="auto"/>
              <w:right w:val="nil"/>
            </w:tcBorders>
            <w:shd w:val="clear" w:color="auto" w:fill="FFFFFF"/>
            <w:noWrap/>
            <w:vAlign w:val="center"/>
            <w:hideMark/>
          </w:tcPr>
          <w:p w14:paraId="7FC58FD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$117 </w:t>
            </w:r>
          </w:p>
        </w:tc>
        <w:tc>
          <w:tcPr>
            <w:tcW w:w="1204" w:type="dxa"/>
            <w:tcBorders>
              <w:top w:val="single" w:sz="8" w:space="0" w:color="auto"/>
              <w:left w:val="nil"/>
              <w:bottom w:val="double" w:sz="6" w:space="0" w:color="auto"/>
              <w:right w:val="nil"/>
            </w:tcBorders>
            <w:shd w:val="clear" w:color="auto" w:fill="FFFFFF"/>
            <w:noWrap/>
            <w:vAlign w:val="center"/>
            <w:hideMark/>
          </w:tcPr>
          <w:p w14:paraId="592B947A"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$235 </w:t>
            </w:r>
          </w:p>
        </w:tc>
        <w:tc>
          <w:tcPr>
            <w:tcW w:w="1636" w:type="dxa"/>
            <w:tcBorders>
              <w:top w:val="nil"/>
              <w:left w:val="single" w:sz="8" w:space="0" w:color="auto"/>
              <w:bottom w:val="nil"/>
              <w:right w:val="single" w:sz="8" w:space="0" w:color="auto"/>
            </w:tcBorders>
            <w:shd w:val="clear" w:color="auto" w:fill="FFFFFF"/>
            <w:noWrap/>
            <w:vAlign w:val="center"/>
            <w:hideMark/>
          </w:tcPr>
          <w:p w14:paraId="77EBEBD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(max)</w:t>
            </w:r>
          </w:p>
        </w:tc>
      </w:tr>
      <w:tr w:rsidR="009C0829" w:rsidRPr="009C0829" w14:paraId="1A1F86B7" w14:textId="77777777" w:rsidTr="009C0829">
        <w:trPr>
          <w:trHeight w:val="176"/>
        </w:trPr>
        <w:tc>
          <w:tcPr>
            <w:tcW w:w="4530" w:type="dxa"/>
            <w:tcBorders>
              <w:top w:val="nil"/>
              <w:left w:val="single" w:sz="8" w:space="0" w:color="auto"/>
              <w:bottom w:val="nil"/>
              <w:right w:val="nil"/>
            </w:tcBorders>
            <w:shd w:val="clear" w:color="auto" w:fill="FFFFFF"/>
            <w:noWrap/>
            <w:vAlign w:val="center"/>
            <w:hideMark/>
          </w:tcPr>
          <w:p w14:paraId="6976F7E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1411518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777278F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7D98A24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63958CB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7B4491C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109AB50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22085935"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467FE4A9"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Undergraduate International (15 Credit Hours)</w:t>
            </w:r>
          </w:p>
        </w:tc>
        <w:tc>
          <w:tcPr>
            <w:tcW w:w="1416" w:type="dxa"/>
            <w:tcBorders>
              <w:top w:val="nil"/>
              <w:left w:val="nil"/>
              <w:bottom w:val="nil"/>
              <w:right w:val="nil"/>
            </w:tcBorders>
            <w:shd w:val="clear" w:color="auto" w:fill="FFFFFF"/>
            <w:noWrap/>
            <w:vAlign w:val="center"/>
            <w:hideMark/>
          </w:tcPr>
          <w:p w14:paraId="3373FA7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035D781D"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33D596D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2407EF8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5F7CBD7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4F7DA3F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042FF6FE"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35530040"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 State Undergraduate</w:t>
            </w:r>
          </w:p>
        </w:tc>
        <w:tc>
          <w:tcPr>
            <w:tcW w:w="1416" w:type="dxa"/>
            <w:tcBorders>
              <w:top w:val="nil"/>
              <w:left w:val="nil"/>
              <w:bottom w:val="nil"/>
              <w:right w:val="nil"/>
            </w:tcBorders>
            <w:shd w:val="clear" w:color="auto" w:fill="FFFFFF"/>
            <w:noWrap/>
            <w:vAlign w:val="center"/>
            <w:hideMark/>
          </w:tcPr>
          <w:p w14:paraId="4C3D615B"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$4,401 </w:t>
            </w:r>
          </w:p>
        </w:tc>
        <w:tc>
          <w:tcPr>
            <w:tcW w:w="1416" w:type="dxa"/>
            <w:tcBorders>
              <w:top w:val="nil"/>
              <w:left w:val="nil"/>
              <w:bottom w:val="nil"/>
              <w:right w:val="nil"/>
            </w:tcBorders>
            <w:shd w:val="clear" w:color="auto" w:fill="FFFFFF"/>
            <w:noWrap/>
            <w:vAlign w:val="center"/>
            <w:hideMark/>
          </w:tcPr>
          <w:p w14:paraId="69CCAC2F"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$4,503 </w:t>
            </w:r>
          </w:p>
        </w:tc>
        <w:tc>
          <w:tcPr>
            <w:tcW w:w="1416" w:type="dxa"/>
            <w:tcBorders>
              <w:top w:val="nil"/>
              <w:left w:val="nil"/>
              <w:bottom w:val="nil"/>
              <w:right w:val="nil"/>
            </w:tcBorders>
            <w:shd w:val="clear" w:color="auto" w:fill="FFFFFF"/>
            <w:noWrap/>
            <w:vAlign w:val="center"/>
            <w:hideMark/>
          </w:tcPr>
          <w:p w14:paraId="6BF675E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$4,614 </w:t>
            </w:r>
          </w:p>
        </w:tc>
        <w:tc>
          <w:tcPr>
            <w:tcW w:w="2292" w:type="dxa"/>
            <w:tcBorders>
              <w:top w:val="nil"/>
              <w:left w:val="nil"/>
              <w:bottom w:val="nil"/>
              <w:right w:val="nil"/>
            </w:tcBorders>
            <w:shd w:val="clear" w:color="auto" w:fill="FFFFFF"/>
            <w:noWrap/>
            <w:vAlign w:val="center"/>
            <w:hideMark/>
          </w:tcPr>
          <w:p w14:paraId="69159E7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$102 </w:t>
            </w:r>
          </w:p>
        </w:tc>
        <w:tc>
          <w:tcPr>
            <w:tcW w:w="1204" w:type="dxa"/>
            <w:tcBorders>
              <w:top w:val="nil"/>
              <w:left w:val="nil"/>
              <w:bottom w:val="nil"/>
              <w:right w:val="nil"/>
            </w:tcBorders>
            <w:shd w:val="clear" w:color="auto" w:fill="FFFFFF"/>
            <w:noWrap/>
            <w:vAlign w:val="center"/>
            <w:hideMark/>
          </w:tcPr>
          <w:p w14:paraId="7D6D382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$213 </w:t>
            </w:r>
          </w:p>
        </w:tc>
        <w:tc>
          <w:tcPr>
            <w:tcW w:w="1636" w:type="dxa"/>
            <w:tcBorders>
              <w:top w:val="nil"/>
              <w:left w:val="single" w:sz="8" w:space="0" w:color="auto"/>
              <w:bottom w:val="nil"/>
              <w:right w:val="single" w:sz="8" w:space="0" w:color="auto"/>
            </w:tcBorders>
            <w:shd w:val="clear" w:color="auto" w:fill="FFFFFF"/>
            <w:noWrap/>
            <w:vAlign w:val="center"/>
            <w:hideMark/>
          </w:tcPr>
          <w:p w14:paraId="620F68A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14A99EB2"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3F231397"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International Tuition</w:t>
            </w:r>
          </w:p>
        </w:tc>
        <w:tc>
          <w:tcPr>
            <w:tcW w:w="1416" w:type="dxa"/>
            <w:tcBorders>
              <w:top w:val="nil"/>
              <w:left w:val="nil"/>
              <w:bottom w:val="nil"/>
              <w:right w:val="nil"/>
            </w:tcBorders>
            <w:shd w:val="clear" w:color="auto" w:fill="FFFFFF"/>
            <w:noWrap/>
            <w:vAlign w:val="center"/>
            <w:hideMark/>
          </w:tcPr>
          <w:p w14:paraId="3FB34CD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$9,846 </w:t>
            </w:r>
          </w:p>
        </w:tc>
        <w:tc>
          <w:tcPr>
            <w:tcW w:w="1416" w:type="dxa"/>
            <w:tcBorders>
              <w:top w:val="nil"/>
              <w:left w:val="nil"/>
              <w:bottom w:val="nil"/>
              <w:right w:val="nil"/>
            </w:tcBorders>
            <w:shd w:val="clear" w:color="auto" w:fill="FFFFFF"/>
            <w:noWrap/>
            <w:vAlign w:val="center"/>
            <w:hideMark/>
          </w:tcPr>
          <w:p w14:paraId="5C989F4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$10,086 </w:t>
            </w:r>
          </w:p>
        </w:tc>
        <w:tc>
          <w:tcPr>
            <w:tcW w:w="1416" w:type="dxa"/>
            <w:tcBorders>
              <w:top w:val="nil"/>
              <w:left w:val="nil"/>
              <w:bottom w:val="nil"/>
              <w:right w:val="nil"/>
            </w:tcBorders>
            <w:shd w:val="clear" w:color="auto" w:fill="FFFFFF"/>
            <w:noWrap/>
            <w:vAlign w:val="center"/>
            <w:hideMark/>
          </w:tcPr>
          <w:p w14:paraId="6623AE0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$10,326 </w:t>
            </w:r>
          </w:p>
        </w:tc>
        <w:tc>
          <w:tcPr>
            <w:tcW w:w="2292" w:type="dxa"/>
            <w:tcBorders>
              <w:top w:val="nil"/>
              <w:left w:val="nil"/>
              <w:bottom w:val="nil"/>
              <w:right w:val="nil"/>
            </w:tcBorders>
            <w:shd w:val="clear" w:color="auto" w:fill="FFFFFF"/>
            <w:noWrap/>
            <w:vAlign w:val="center"/>
            <w:hideMark/>
          </w:tcPr>
          <w:p w14:paraId="01D81BB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$240 </w:t>
            </w:r>
          </w:p>
        </w:tc>
        <w:tc>
          <w:tcPr>
            <w:tcW w:w="1204" w:type="dxa"/>
            <w:tcBorders>
              <w:top w:val="nil"/>
              <w:left w:val="nil"/>
              <w:bottom w:val="nil"/>
              <w:right w:val="nil"/>
            </w:tcBorders>
            <w:shd w:val="clear" w:color="auto" w:fill="FFFFFF"/>
            <w:noWrap/>
            <w:vAlign w:val="center"/>
            <w:hideMark/>
          </w:tcPr>
          <w:p w14:paraId="5AABCE70"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$480 </w:t>
            </w:r>
          </w:p>
        </w:tc>
        <w:tc>
          <w:tcPr>
            <w:tcW w:w="1636" w:type="dxa"/>
            <w:tcBorders>
              <w:top w:val="nil"/>
              <w:left w:val="single" w:sz="8" w:space="0" w:color="auto"/>
              <w:bottom w:val="nil"/>
              <w:right w:val="single" w:sz="8" w:space="0" w:color="auto"/>
            </w:tcBorders>
            <w:shd w:val="clear" w:color="auto" w:fill="FFFFFF"/>
            <w:noWrap/>
            <w:vAlign w:val="center"/>
            <w:hideMark/>
          </w:tcPr>
          <w:p w14:paraId="0C1B76C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07CD8B99"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4A39CEAE"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International Undergraduate </w:t>
            </w:r>
          </w:p>
        </w:tc>
        <w:tc>
          <w:tcPr>
            <w:tcW w:w="1416" w:type="dxa"/>
            <w:tcBorders>
              <w:top w:val="single" w:sz="8" w:space="0" w:color="auto"/>
              <w:left w:val="nil"/>
              <w:bottom w:val="double" w:sz="6" w:space="0" w:color="auto"/>
              <w:right w:val="nil"/>
            </w:tcBorders>
            <w:shd w:val="clear" w:color="auto" w:fill="FFFFFF"/>
            <w:noWrap/>
            <w:vAlign w:val="center"/>
            <w:hideMark/>
          </w:tcPr>
          <w:p w14:paraId="26BAD60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$14,247 </w:t>
            </w:r>
          </w:p>
        </w:tc>
        <w:tc>
          <w:tcPr>
            <w:tcW w:w="1416" w:type="dxa"/>
            <w:tcBorders>
              <w:top w:val="single" w:sz="8" w:space="0" w:color="auto"/>
              <w:left w:val="nil"/>
              <w:bottom w:val="double" w:sz="6" w:space="0" w:color="auto"/>
              <w:right w:val="nil"/>
            </w:tcBorders>
            <w:shd w:val="clear" w:color="auto" w:fill="FFFFFF"/>
            <w:noWrap/>
            <w:vAlign w:val="center"/>
            <w:hideMark/>
          </w:tcPr>
          <w:p w14:paraId="68B0DAAC"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$14,589 </w:t>
            </w:r>
          </w:p>
        </w:tc>
        <w:tc>
          <w:tcPr>
            <w:tcW w:w="1416" w:type="dxa"/>
            <w:tcBorders>
              <w:top w:val="single" w:sz="8" w:space="0" w:color="auto"/>
              <w:left w:val="nil"/>
              <w:bottom w:val="double" w:sz="6" w:space="0" w:color="auto"/>
              <w:right w:val="nil"/>
            </w:tcBorders>
            <w:shd w:val="clear" w:color="auto" w:fill="FFFFFF"/>
            <w:noWrap/>
            <w:vAlign w:val="center"/>
            <w:hideMark/>
          </w:tcPr>
          <w:p w14:paraId="63C1F16B"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$14,940 </w:t>
            </w:r>
          </w:p>
        </w:tc>
        <w:tc>
          <w:tcPr>
            <w:tcW w:w="2292" w:type="dxa"/>
            <w:tcBorders>
              <w:top w:val="single" w:sz="8" w:space="0" w:color="auto"/>
              <w:left w:val="nil"/>
              <w:bottom w:val="double" w:sz="6" w:space="0" w:color="auto"/>
              <w:right w:val="nil"/>
            </w:tcBorders>
            <w:shd w:val="clear" w:color="auto" w:fill="FFFFFF"/>
            <w:noWrap/>
            <w:vAlign w:val="center"/>
            <w:hideMark/>
          </w:tcPr>
          <w:p w14:paraId="22577628"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$342 </w:t>
            </w:r>
          </w:p>
        </w:tc>
        <w:tc>
          <w:tcPr>
            <w:tcW w:w="1204" w:type="dxa"/>
            <w:tcBorders>
              <w:top w:val="single" w:sz="8" w:space="0" w:color="auto"/>
              <w:left w:val="nil"/>
              <w:bottom w:val="double" w:sz="6" w:space="0" w:color="auto"/>
              <w:right w:val="nil"/>
            </w:tcBorders>
            <w:shd w:val="clear" w:color="auto" w:fill="FFFFFF"/>
            <w:noWrap/>
            <w:vAlign w:val="center"/>
            <w:hideMark/>
          </w:tcPr>
          <w:p w14:paraId="105C9FAC"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$693 </w:t>
            </w:r>
          </w:p>
        </w:tc>
        <w:tc>
          <w:tcPr>
            <w:tcW w:w="1636" w:type="dxa"/>
            <w:tcBorders>
              <w:top w:val="nil"/>
              <w:left w:val="single" w:sz="8" w:space="0" w:color="auto"/>
              <w:bottom w:val="nil"/>
              <w:right w:val="single" w:sz="8" w:space="0" w:color="auto"/>
            </w:tcBorders>
            <w:shd w:val="clear" w:color="auto" w:fill="FFFFFF"/>
            <w:noWrap/>
            <w:vAlign w:val="center"/>
            <w:hideMark/>
          </w:tcPr>
          <w:p w14:paraId="4C66335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66008C58" w14:textId="77777777" w:rsidTr="009C0829">
        <w:trPr>
          <w:trHeight w:val="132"/>
        </w:trPr>
        <w:tc>
          <w:tcPr>
            <w:tcW w:w="4530" w:type="dxa"/>
            <w:tcBorders>
              <w:top w:val="nil"/>
              <w:left w:val="single" w:sz="8" w:space="0" w:color="auto"/>
              <w:bottom w:val="nil"/>
              <w:right w:val="nil"/>
            </w:tcBorders>
            <w:shd w:val="clear" w:color="auto" w:fill="FFFFFF"/>
            <w:noWrap/>
            <w:vAlign w:val="center"/>
            <w:hideMark/>
          </w:tcPr>
          <w:p w14:paraId="7371160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5466827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7BA75E4D"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5ED998B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5CC4C8A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0452612C"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676698CB"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10F325F0"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3E14FBB0"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Graduate (12 hours)</w:t>
            </w:r>
          </w:p>
        </w:tc>
        <w:tc>
          <w:tcPr>
            <w:tcW w:w="1416" w:type="dxa"/>
            <w:tcBorders>
              <w:top w:val="nil"/>
              <w:left w:val="nil"/>
              <w:bottom w:val="nil"/>
              <w:right w:val="nil"/>
            </w:tcBorders>
            <w:shd w:val="clear" w:color="auto" w:fill="FFFFFF"/>
            <w:noWrap/>
            <w:vAlign w:val="center"/>
            <w:hideMark/>
          </w:tcPr>
          <w:p w14:paraId="4608621C"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4AA8977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40C7EBD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50AFDD7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05CF0A53"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72CBD68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70AAEFBB"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5B031093"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 State Graduate</w:t>
            </w:r>
          </w:p>
        </w:tc>
        <w:tc>
          <w:tcPr>
            <w:tcW w:w="1416" w:type="dxa"/>
            <w:tcBorders>
              <w:top w:val="nil"/>
              <w:left w:val="nil"/>
              <w:bottom w:val="nil"/>
              <w:right w:val="nil"/>
            </w:tcBorders>
            <w:shd w:val="clear" w:color="auto" w:fill="FFFFFF"/>
            <w:noWrap/>
            <w:vAlign w:val="center"/>
            <w:hideMark/>
          </w:tcPr>
          <w:p w14:paraId="1F9FAD9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$5,564 </w:t>
            </w:r>
          </w:p>
        </w:tc>
        <w:tc>
          <w:tcPr>
            <w:tcW w:w="1416" w:type="dxa"/>
            <w:tcBorders>
              <w:top w:val="nil"/>
              <w:left w:val="nil"/>
              <w:bottom w:val="nil"/>
              <w:right w:val="nil"/>
            </w:tcBorders>
            <w:shd w:val="clear" w:color="auto" w:fill="FFFFFF"/>
            <w:noWrap/>
            <w:vAlign w:val="center"/>
            <w:hideMark/>
          </w:tcPr>
          <w:p w14:paraId="4BD28F88"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$5,700 </w:t>
            </w:r>
          </w:p>
        </w:tc>
        <w:tc>
          <w:tcPr>
            <w:tcW w:w="1416" w:type="dxa"/>
            <w:tcBorders>
              <w:top w:val="nil"/>
              <w:left w:val="nil"/>
              <w:bottom w:val="nil"/>
              <w:right w:val="nil"/>
            </w:tcBorders>
            <w:shd w:val="clear" w:color="auto" w:fill="FFFFFF"/>
            <w:noWrap/>
            <w:vAlign w:val="center"/>
            <w:hideMark/>
          </w:tcPr>
          <w:p w14:paraId="67D937E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$5,834 </w:t>
            </w:r>
          </w:p>
        </w:tc>
        <w:tc>
          <w:tcPr>
            <w:tcW w:w="2292" w:type="dxa"/>
            <w:tcBorders>
              <w:top w:val="nil"/>
              <w:left w:val="nil"/>
              <w:bottom w:val="nil"/>
              <w:right w:val="nil"/>
            </w:tcBorders>
            <w:shd w:val="clear" w:color="auto" w:fill="FFFFFF"/>
            <w:noWrap/>
            <w:vAlign w:val="center"/>
            <w:hideMark/>
          </w:tcPr>
          <w:p w14:paraId="1342C7E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$136 </w:t>
            </w:r>
          </w:p>
        </w:tc>
        <w:tc>
          <w:tcPr>
            <w:tcW w:w="1204" w:type="dxa"/>
            <w:tcBorders>
              <w:top w:val="nil"/>
              <w:left w:val="nil"/>
              <w:bottom w:val="nil"/>
              <w:right w:val="nil"/>
            </w:tcBorders>
            <w:shd w:val="clear" w:color="auto" w:fill="FFFFFF"/>
            <w:noWrap/>
            <w:vAlign w:val="center"/>
            <w:hideMark/>
          </w:tcPr>
          <w:p w14:paraId="03FABB3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$270 </w:t>
            </w:r>
          </w:p>
        </w:tc>
        <w:tc>
          <w:tcPr>
            <w:tcW w:w="1636" w:type="dxa"/>
            <w:tcBorders>
              <w:top w:val="nil"/>
              <w:left w:val="single" w:sz="8" w:space="0" w:color="auto"/>
              <w:bottom w:val="nil"/>
              <w:right w:val="single" w:sz="8" w:space="0" w:color="auto"/>
            </w:tcBorders>
            <w:shd w:val="clear" w:color="auto" w:fill="FFFFFF"/>
            <w:noWrap/>
            <w:vAlign w:val="center"/>
            <w:hideMark/>
          </w:tcPr>
          <w:p w14:paraId="44EDC4FD"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3BE7982A"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68BBC042"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In State Graduate </w:t>
            </w:r>
          </w:p>
        </w:tc>
        <w:tc>
          <w:tcPr>
            <w:tcW w:w="1416" w:type="dxa"/>
            <w:tcBorders>
              <w:top w:val="single" w:sz="8" w:space="0" w:color="auto"/>
              <w:left w:val="nil"/>
              <w:bottom w:val="double" w:sz="6" w:space="0" w:color="auto"/>
              <w:right w:val="nil"/>
            </w:tcBorders>
            <w:shd w:val="clear" w:color="auto" w:fill="FFFFFF"/>
            <w:noWrap/>
            <w:vAlign w:val="center"/>
            <w:hideMark/>
          </w:tcPr>
          <w:p w14:paraId="05CB906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$5,564 </w:t>
            </w:r>
          </w:p>
        </w:tc>
        <w:tc>
          <w:tcPr>
            <w:tcW w:w="1416" w:type="dxa"/>
            <w:tcBorders>
              <w:top w:val="single" w:sz="8" w:space="0" w:color="auto"/>
              <w:left w:val="nil"/>
              <w:bottom w:val="double" w:sz="6" w:space="0" w:color="auto"/>
              <w:right w:val="nil"/>
            </w:tcBorders>
            <w:shd w:val="clear" w:color="auto" w:fill="FFFFFF"/>
            <w:noWrap/>
            <w:vAlign w:val="center"/>
            <w:hideMark/>
          </w:tcPr>
          <w:p w14:paraId="6D6F6C8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$5,700 </w:t>
            </w:r>
          </w:p>
        </w:tc>
        <w:tc>
          <w:tcPr>
            <w:tcW w:w="1416" w:type="dxa"/>
            <w:tcBorders>
              <w:top w:val="single" w:sz="8" w:space="0" w:color="auto"/>
              <w:left w:val="nil"/>
              <w:bottom w:val="double" w:sz="6" w:space="0" w:color="auto"/>
              <w:right w:val="nil"/>
            </w:tcBorders>
            <w:shd w:val="clear" w:color="auto" w:fill="FFFFFF"/>
            <w:noWrap/>
            <w:vAlign w:val="center"/>
            <w:hideMark/>
          </w:tcPr>
          <w:p w14:paraId="66A337DB"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$5,834 </w:t>
            </w:r>
          </w:p>
        </w:tc>
        <w:tc>
          <w:tcPr>
            <w:tcW w:w="2292" w:type="dxa"/>
            <w:tcBorders>
              <w:top w:val="single" w:sz="8" w:space="0" w:color="auto"/>
              <w:left w:val="nil"/>
              <w:bottom w:val="double" w:sz="6" w:space="0" w:color="auto"/>
              <w:right w:val="nil"/>
            </w:tcBorders>
            <w:shd w:val="clear" w:color="auto" w:fill="FFFFFF"/>
            <w:noWrap/>
            <w:vAlign w:val="center"/>
            <w:hideMark/>
          </w:tcPr>
          <w:p w14:paraId="1EA2AB0C"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$136 </w:t>
            </w:r>
          </w:p>
        </w:tc>
        <w:tc>
          <w:tcPr>
            <w:tcW w:w="1204" w:type="dxa"/>
            <w:tcBorders>
              <w:top w:val="single" w:sz="8" w:space="0" w:color="auto"/>
              <w:left w:val="nil"/>
              <w:bottom w:val="double" w:sz="6" w:space="0" w:color="auto"/>
              <w:right w:val="nil"/>
            </w:tcBorders>
            <w:shd w:val="clear" w:color="auto" w:fill="FFFFFF"/>
            <w:noWrap/>
            <w:vAlign w:val="center"/>
            <w:hideMark/>
          </w:tcPr>
          <w:p w14:paraId="6188A0B5"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$270 </w:t>
            </w:r>
          </w:p>
        </w:tc>
        <w:tc>
          <w:tcPr>
            <w:tcW w:w="1636" w:type="dxa"/>
            <w:tcBorders>
              <w:top w:val="nil"/>
              <w:left w:val="single" w:sz="8" w:space="0" w:color="auto"/>
              <w:bottom w:val="nil"/>
              <w:right w:val="single" w:sz="8" w:space="0" w:color="auto"/>
            </w:tcBorders>
            <w:shd w:val="clear" w:color="auto" w:fill="FFFFFF"/>
            <w:noWrap/>
            <w:vAlign w:val="center"/>
            <w:hideMark/>
          </w:tcPr>
          <w:p w14:paraId="518A262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298543C4" w14:textId="77777777" w:rsidTr="009C0829">
        <w:trPr>
          <w:trHeight w:val="220"/>
        </w:trPr>
        <w:tc>
          <w:tcPr>
            <w:tcW w:w="4530" w:type="dxa"/>
            <w:tcBorders>
              <w:top w:val="nil"/>
              <w:left w:val="single" w:sz="8" w:space="0" w:color="auto"/>
              <w:bottom w:val="nil"/>
              <w:right w:val="nil"/>
            </w:tcBorders>
            <w:shd w:val="clear" w:color="auto" w:fill="FFFFFF"/>
            <w:noWrap/>
            <w:vAlign w:val="center"/>
            <w:hideMark/>
          </w:tcPr>
          <w:p w14:paraId="3EC55AD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343B1DA2"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5AECB1C8"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456D2F01"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08B1220B"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0E73A9F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064BEB0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590B18E7"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78857B35" w14:textId="77777777" w:rsidR="009C0829" w:rsidRPr="009C0829" w:rsidRDefault="009C0829" w:rsidP="009C0829">
            <w:pPr>
              <w:spacing w:after="0" w:line="240" w:lineRule="auto"/>
              <w:rPr>
                <w:rFonts w:ascii="Calibri" w:eastAsia="Times New Roman" w:hAnsi="Calibri" w:cs="Calibri"/>
                <w:i/>
                <w:iCs/>
                <w:color w:val="000000"/>
              </w:rPr>
            </w:pPr>
            <w:r w:rsidRPr="009C0829">
              <w:rPr>
                <w:rFonts w:ascii="Calibri" w:eastAsia="Times New Roman" w:hAnsi="Calibri" w:cs="Calibri"/>
                <w:i/>
                <w:iCs/>
                <w:color w:val="000000"/>
              </w:rPr>
              <w:t>Graduate Out of State (12 Hours)</w:t>
            </w:r>
          </w:p>
        </w:tc>
        <w:tc>
          <w:tcPr>
            <w:tcW w:w="1416" w:type="dxa"/>
            <w:tcBorders>
              <w:top w:val="nil"/>
              <w:left w:val="nil"/>
              <w:bottom w:val="nil"/>
              <w:right w:val="nil"/>
            </w:tcBorders>
            <w:shd w:val="clear" w:color="auto" w:fill="FFFFFF"/>
            <w:noWrap/>
            <w:vAlign w:val="center"/>
            <w:hideMark/>
          </w:tcPr>
          <w:p w14:paraId="33D4AB9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00C8C6E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416" w:type="dxa"/>
            <w:tcBorders>
              <w:top w:val="nil"/>
              <w:left w:val="nil"/>
              <w:bottom w:val="nil"/>
              <w:right w:val="nil"/>
            </w:tcBorders>
            <w:shd w:val="clear" w:color="auto" w:fill="FFFFFF"/>
            <w:noWrap/>
            <w:vAlign w:val="center"/>
            <w:hideMark/>
          </w:tcPr>
          <w:p w14:paraId="31838B72"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2292" w:type="dxa"/>
            <w:tcBorders>
              <w:top w:val="nil"/>
              <w:left w:val="nil"/>
              <w:bottom w:val="nil"/>
              <w:right w:val="nil"/>
            </w:tcBorders>
            <w:shd w:val="clear" w:color="auto" w:fill="FFFFFF"/>
            <w:noWrap/>
            <w:vAlign w:val="center"/>
            <w:hideMark/>
          </w:tcPr>
          <w:p w14:paraId="1E89741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204" w:type="dxa"/>
            <w:tcBorders>
              <w:top w:val="nil"/>
              <w:left w:val="nil"/>
              <w:bottom w:val="nil"/>
              <w:right w:val="nil"/>
            </w:tcBorders>
            <w:shd w:val="clear" w:color="auto" w:fill="FFFFFF"/>
            <w:noWrap/>
            <w:vAlign w:val="center"/>
            <w:hideMark/>
          </w:tcPr>
          <w:p w14:paraId="1A37C6B4"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w:t>
            </w:r>
          </w:p>
        </w:tc>
        <w:tc>
          <w:tcPr>
            <w:tcW w:w="1636" w:type="dxa"/>
            <w:tcBorders>
              <w:top w:val="nil"/>
              <w:left w:val="single" w:sz="8" w:space="0" w:color="auto"/>
              <w:bottom w:val="nil"/>
              <w:right w:val="single" w:sz="8" w:space="0" w:color="auto"/>
            </w:tcBorders>
            <w:shd w:val="clear" w:color="auto" w:fill="FFFFFF"/>
            <w:noWrap/>
            <w:vAlign w:val="center"/>
            <w:hideMark/>
          </w:tcPr>
          <w:p w14:paraId="68CE9A8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7C1BB46A" w14:textId="77777777" w:rsidTr="009C0829">
        <w:trPr>
          <w:trHeight w:val="285"/>
        </w:trPr>
        <w:tc>
          <w:tcPr>
            <w:tcW w:w="4530" w:type="dxa"/>
            <w:tcBorders>
              <w:top w:val="nil"/>
              <w:left w:val="single" w:sz="8" w:space="0" w:color="auto"/>
              <w:bottom w:val="nil"/>
              <w:right w:val="nil"/>
            </w:tcBorders>
            <w:shd w:val="clear" w:color="auto" w:fill="FFFFFF"/>
            <w:noWrap/>
            <w:vAlign w:val="center"/>
            <w:hideMark/>
          </w:tcPr>
          <w:p w14:paraId="19C72EA3"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In State Graduate</w:t>
            </w:r>
          </w:p>
        </w:tc>
        <w:tc>
          <w:tcPr>
            <w:tcW w:w="1416" w:type="dxa"/>
            <w:tcBorders>
              <w:top w:val="nil"/>
              <w:left w:val="nil"/>
              <w:bottom w:val="nil"/>
              <w:right w:val="nil"/>
            </w:tcBorders>
            <w:shd w:val="clear" w:color="auto" w:fill="FFFFFF"/>
            <w:noWrap/>
            <w:vAlign w:val="center"/>
            <w:hideMark/>
          </w:tcPr>
          <w:p w14:paraId="0954D918"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$5,564 </w:t>
            </w:r>
          </w:p>
        </w:tc>
        <w:tc>
          <w:tcPr>
            <w:tcW w:w="1416" w:type="dxa"/>
            <w:tcBorders>
              <w:top w:val="nil"/>
              <w:left w:val="nil"/>
              <w:bottom w:val="nil"/>
              <w:right w:val="nil"/>
            </w:tcBorders>
            <w:shd w:val="clear" w:color="auto" w:fill="FFFFFF"/>
            <w:noWrap/>
            <w:vAlign w:val="center"/>
            <w:hideMark/>
          </w:tcPr>
          <w:p w14:paraId="171911D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$5,700 </w:t>
            </w:r>
          </w:p>
        </w:tc>
        <w:tc>
          <w:tcPr>
            <w:tcW w:w="1416" w:type="dxa"/>
            <w:tcBorders>
              <w:top w:val="nil"/>
              <w:left w:val="nil"/>
              <w:bottom w:val="nil"/>
              <w:right w:val="nil"/>
            </w:tcBorders>
            <w:shd w:val="clear" w:color="auto" w:fill="FFFFFF"/>
            <w:noWrap/>
            <w:vAlign w:val="center"/>
            <w:hideMark/>
          </w:tcPr>
          <w:p w14:paraId="37CE075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$5,834 </w:t>
            </w:r>
          </w:p>
        </w:tc>
        <w:tc>
          <w:tcPr>
            <w:tcW w:w="2292" w:type="dxa"/>
            <w:tcBorders>
              <w:top w:val="nil"/>
              <w:left w:val="nil"/>
              <w:bottom w:val="nil"/>
              <w:right w:val="nil"/>
            </w:tcBorders>
            <w:shd w:val="clear" w:color="auto" w:fill="FFFFFF"/>
            <w:noWrap/>
            <w:vAlign w:val="center"/>
            <w:hideMark/>
          </w:tcPr>
          <w:p w14:paraId="75FCBB8B"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$136 </w:t>
            </w:r>
          </w:p>
        </w:tc>
        <w:tc>
          <w:tcPr>
            <w:tcW w:w="1204" w:type="dxa"/>
            <w:tcBorders>
              <w:top w:val="nil"/>
              <w:left w:val="nil"/>
              <w:bottom w:val="nil"/>
              <w:right w:val="nil"/>
            </w:tcBorders>
            <w:shd w:val="clear" w:color="auto" w:fill="FFFFFF"/>
            <w:noWrap/>
            <w:vAlign w:val="center"/>
            <w:hideMark/>
          </w:tcPr>
          <w:p w14:paraId="7BB3B80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$270 </w:t>
            </w:r>
          </w:p>
        </w:tc>
        <w:tc>
          <w:tcPr>
            <w:tcW w:w="1636" w:type="dxa"/>
            <w:tcBorders>
              <w:top w:val="nil"/>
              <w:left w:val="single" w:sz="8" w:space="0" w:color="auto"/>
              <w:bottom w:val="nil"/>
              <w:right w:val="single" w:sz="8" w:space="0" w:color="auto"/>
            </w:tcBorders>
            <w:shd w:val="clear" w:color="auto" w:fill="FFFFFF"/>
            <w:noWrap/>
            <w:vAlign w:val="center"/>
            <w:hideMark/>
          </w:tcPr>
          <w:p w14:paraId="38A70FF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3FC31C9E" w14:textId="77777777" w:rsidTr="009C0829">
        <w:trPr>
          <w:trHeight w:val="298"/>
        </w:trPr>
        <w:tc>
          <w:tcPr>
            <w:tcW w:w="4530" w:type="dxa"/>
            <w:tcBorders>
              <w:top w:val="nil"/>
              <w:left w:val="single" w:sz="8" w:space="0" w:color="auto"/>
              <w:bottom w:val="nil"/>
              <w:right w:val="nil"/>
            </w:tcBorders>
            <w:shd w:val="clear" w:color="auto" w:fill="FFFFFF"/>
            <w:noWrap/>
            <w:vAlign w:val="center"/>
            <w:hideMark/>
          </w:tcPr>
          <w:p w14:paraId="4DE5503A"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Out of State Tuition</w:t>
            </w:r>
          </w:p>
        </w:tc>
        <w:tc>
          <w:tcPr>
            <w:tcW w:w="1416" w:type="dxa"/>
            <w:tcBorders>
              <w:top w:val="nil"/>
              <w:left w:val="nil"/>
              <w:bottom w:val="nil"/>
              <w:right w:val="nil"/>
            </w:tcBorders>
            <w:shd w:val="clear" w:color="auto" w:fill="FFFFFF"/>
            <w:noWrap/>
            <w:vAlign w:val="center"/>
            <w:hideMark/>
          </w:tcPr>
          <w:p w14:paraId="7143958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$7,560 </w:t>
            </w:r>
          </w:p>
        </w:tc>
        <w:tc>
          <w:tcPr>
            <w:tcW w:w="1416" w:type="dxa"/>
            <w:tcBorders>
              <w:top w:val="nil"/>
              <w:left w:val="nil"/>
              <w:bottom w:val="nil"/>
              <w:right w:val="nil"/>
            </w:tcBorders>
            <w:shd w:val="clear" w:color="auto" w:fill="FFFFFF"/>
            <w:noWrap/>
            <w:vAlign w:val="center"/>
            <w:hideMark/>
          </w:tcPr>
          <w:p w14:paraId="48CBB7A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$7,740 </w:t>
            </w:r>
          </w:p>
        </w:tc>
        <w:tc>
          <w:tcPr>
            <w:tcW w:w="1416" w:type="dxa"/>
            <w:tcBorders>
              <w:top w:val="nil"/>
              <w:left w:val="nil"/>
              <w:bottom w:val="nil"/>
              <w:right w:val="nil"/>
            </w:tcBorders>
            <w:shd w:val="clear" w:color="auto" w:fill="FFFFFF"/>
            <w:noWrap/>
            <w:vAlign w:val="center"/>
            <w:hideMark/>
          </w:tcPr>
          <w:p w14:paraId="4A506AD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$7,920 </w:t>
            </w:r>
          </w:p>
        </w:tc>
        <w:tc>
          <w:tcPr>
            <w:tcW w:w="2292" w:type="dxa"/>
            <w:tcBorders>
              <w:top w:val="nil"/>
              <w:left w:val="nil"/>
              <w:bottom w:val="nil"/>
              <w:right w:val="nil"/>
            </w:tcBorders>
            <w:shd w:val="clear" w:color="auto" w:fill="FFFFFF"/>
            <w:noWrap/>
            <w:vAlign w:val="center"/>
            <w:hideMark/>
          </w:tcPr>
          <w:p w14:paraId="0A1F7B4C"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$180 </w:t>
            </w:r>
          </w:p>
        </w:tc>
        <w:tc>
          <w:tcPr>
            <w:tcW w:w="1204" w:type="dxa"/>
            <w:tcBorders>
              <w:top w:val="nil"/>
              <w:left w:val="nil"/>
              <w:bottom w:val="nil"/>
              <w:right w:val="nil"/>
            </w:tcBorders>
            <w:shd w:val="clear" w:color="auto" w:fill="FFFFFF"/>
            <w:noWrap/>
            <w:vAlign w:val="center"/>
            <w:hideMark/>
          </w:tcPr>
          <w:p w14:paraId="74C9C72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$360 </w:t>
            </w:r>
          </w:p>
        </w:tc>
        <w:tc>
          <w:tcPr>
            <w:tcW w:w="1636" w:type="dxa"/>
            <w:tcBorders>
              <w:top w:val="nil"/>
              <w:left w:val="single" w:sz="8" w:space="0" w:color="auto"/>
              <w:bottom w:val="nil"/>
              <w:right w:val="single" w:sz="8" w:space="0" w:color="auto"/>
            </w:tcBorders>
            <w:shd w:val="clear" w:color="auto" w:fill="FFFFFF"/>
            <w:noWrap/>
            <w:vAlign w:val="center"/>
            <w:hideMark/>
          </w:tcPr>
          <w:p w14:paraId="7BE949D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115AF6DF" w14:textId="77777777" w:rsidTr="009C0829">
        <w:trPr>
          <w:trHeight w:val="298"/>
        </w:trPr>
        <w:tc>
          <w:tcPr>
            <w:tcW w:w="4530" w:type="dxa"/>
            <w:tcBorders>
              <w:top w:val="nil"/>
              <w:left w:val="single" w:sz="8" w:space="0" w:color="auto"/>
              <w:bottom w:val="single" w:sz="8" w:space="0" w:color="auto"/>
              <w:right w:val="nil"/>
            </w:tcBorders>
            <w:shd w:val="clear" w:color="auto" w:fill="FFFFFF"/>
            <w:noWrap/>
            <w:vAlign w:val="center"/>
            <w:hideMark/>
          </w:tcPr>
          <w:p w14:paraId="3B2DACF2" w14:textId="77777777" w:rsidR="009C0829" w:rsidRPr="009C0829" w:rsidRDefault="009C0829" w:rsidP="009C0829">
            <w:pPr>
              <w:spacing w:after="0" w:line="240" w:lineRule="auto"/>
              <w:ind w:firstLineChars="100" w:firstLine="220"/>
              <w:rPr>
                <w:rFonts w:ascii="Calibri" w:eastAsia="Times New Roman" w:hAnsi="Calibri" w:cs="Calibri"/>
                <w:color w:val="000000"/>
              </w:rPr>
            </w:pPr>
            <w:r w:rsidRPr="009C0829">
              <w:rPr>
                <w:rFonts w:ascii="Calibri" w:eastAsia="Times New Roman" w:hAnsi="Calibri" w:cs="Calibri"/>
                <w:color w:val="000000"/>
              </w:rPr>
              <w:t xml:space="preserve">Total Out of State Graduate </w:t>
            </w:r>
          </w:p>
        </w:tc>
        <w:tc>
          <w:tcPr>
            <w:tcW w:w="1416" w:type="dxa"/>
            <w:tcBorders>
              <w:top w:val="single" w:sz="8" w:space="0" w:color="auto"/>
              <w:left w:val="nil"/>
              <w:bottom w:val="single" w:sz="8" w:space="0" w:color="auto"/>
              <w:right w:val="nil"/>
            </w:tcBorders>
            <w:shd w:val="clear" w:color="auto" w:fill="FFFFFF"/>
            <w:noWrap/>
            <w:vAlign w:val="center"/>
            <w:hideMark/>
          </w:tcPr>
          <w:p w14:paraId="625087B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$13,124 </w:t>
            </w:r>
          </w:p>
        </w:tc>
        <w:tc>
          <w:tcPr>
            <w:tcW w:w="1416" w:type="dxa"/>
            <w:tcBorders>
              <w:top w:val="single" w:sz="8" w:space="0" w:color="auto"/>
              <w:left w:val="nil"/>
              <w:bottom w:val="single" w:sz="8" w:space="0" w:color="auto"/>
              <w:right w:val="nil"/>
            </w:tcBorders>
            <w:shd w:val="clear" w:color="auto" w:fill="FFFFFF"/>
            <w:noWrap/>
            <w:vAlign w:val="center"/>
            <w:hideMark/>
          </w:tcPr>
          <w:p w14:paraId="467291F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$13,440 </w:t>
            </w:r>
          </w:p>
        </w:tc>
        <w:tc>
          <w:tcPr>
            <w:tcW w:w="1416" w:type="dxa"/>
            <w:tcBorders>
              <w:top w:val="single" w:sz="8" w:space="0" w:color="auto"/>
              <w:left w:val="nil"/>
              <w:bottom w:val="single" w:sz="8" w:space="0" w:color="auto"/>
              <w:right w:val="nil"/>
            </w:tcBorders>
            <w:shd w:val="clear" w:color="auto" w:fill="FFFFFF"/>
            <w:noWrap/>
            <w:vAlign w:val="center"/>
            <w:hideMark/>
          </w:tcPr>
          <w:p w14:paraId="345612C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$13,754 </w:t>
            </w:r>
          </w:p>
        </w:tc>
        <w:tc>
          <w:tcPr>
            <w:tcW w:w="2292" w:type="dxa"/>
            <w:tcBorders>
              <w:top w:val="single" w:sz="8" w:space="0" w:color="auto"/>
              <w:left w:val="nil"/>
              <w:bottom w:val="single" w:sz="8" w:space="0" w:color="auto"/>
              <w:right w:val="nil"/>
            </w:tcBorders>
            <w:shd w:val="clear" w:color="auto" w:fill="FFFFFF"/>
            <w:noWrap/>
            <w:vAlign w:val="center"/>
            <w:hideMark/>
          </w:tcPr>
          <w:p w14:paraId="651A8380"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$316 </w:t>
            </w:r>
          </w:p>
        </w:tc>
        <w:tc>
          <w:tcPr>
            <w:tcW w:w="1204" w:type="dxa"/>
            <w:tcBorders>
              <w:top w:val="single" w:sz="8" w:space="0" w:color="auto"/>
              <w:left w:val="nil"/>
              <w:bottom w:val="single" w:sz="8" w:space="0" w:color="auto"/>
              <w:right w:val="nil"/>
            </w:tcBorders>
            <w:shd w:val="clear" w:color="auto" w:fill="FFFFFF"/>
            <w:noWrap/>
            <w:vAlign w:val="center"/>
            <w:hideMark/>
          </w:tcPr>
          <w:p w14:paraId="4533BC5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$630 </w:t>
            </w:r>
          </w:p>
        </w:tc>
        <w:tc>
          <w:tcPr>
            <w:tcW w:w="1636" w:type="dxa"/>
            <w:tcBorders>
              <w:top w:val="nil"/>
              <w:left w:val="single" w:sz="8" w:space="0" w:color="auto"/>
              <w:bottom w:val="single" w:sz="8" w:space="0" w:color="auto"/>
              <w:right w:val="single" w:sz="8" w:space="0" w:color="auto"/>
            </w:tcBorders>
            <w:shd w:val="clear" w:color="auto" w:fill="FFFFFF"/>
            <w:noWrap/>
            <w:vAlign w:val="center"/>
            <w:hideMark/>
          </w:tcPr>
          <w:p w14:paraId="6CCD0C3A"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bl>
    <w:p w14:paraId="69BD8EC5" w14:textId="77777777" w:rsidR="009C0829" w:rsidRPr="009C0829" w:rsidRDefault="009C0829" w:rsidP="009C0829">
      <w:pPr>
        <w:spacing w:after="0" w:line="240" w:lineRule="auto"/>
        <w:rPr>
          <w:rFonts w:ascii="Times New Roman" w:eastAsia="Times New Roman" w:hAnsi="Times New Roman" w:cs="Times New Roman"/>
          <w:b/>
          <w:color w:val="000000"/>
        </w:rPr>
        <w:sectPr w:rsidR="009C0829" w:rsidRPr="009C0829" w:rsidSect="009C0829">
          <w:pgSz w:w="15840" w:h="12240" w:orient="landscape"/>
          <w:pgMar w:top="1440" w:right="1440" w:bottom="1440" w:left="1440" w:header="720" w:footer="720" w:gutter="0"/>
          <w:cols w:space="720"/>
          <w:docGrid w:linePitch="360"/>
        </w:sectPr>
      </w:pPr>
    </w:p>
    <w:tbl>
      <w:tblPr>
        <w:tblW w:w="13050" w:type="dxa"/>
        <w:jc w:val="center"/>
        <w:shd w:val="clear" w:color="auto" w:fill="FFFFFF"/>
        <w:tblLayout w:type="fixed"/>
        <w:tblLook w:val="04A0" w:firstRow="1" w:lastRow="0" w:firstColumn="1" w:lastColumn="0" w:noHBand="0" w:noVBand="1"/>
      </w:tblPr>
      <w:tblGrid>
        <w:gridCol w:w="720"/>
        <w:gridCol w:w="3690"/>
        <w:gridCol w:w="1530"/>
        <w:gridCol w:w="1530"/>
        <w:gridCol w:w="1530"/>
        <w:gridCol w:w="1260"/>
        <w:gridCol w:w="1350"/>
        <w:gridCol w:w="1440"/>
      </w:tblGrid>
      <w:tr w:rsidR="009C0829" w:rsidRPr="009C0829" w14:paraId="0D31E625"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281AF987" w14:textId="77777777" w:rsidR="009C0829" w:rsidRPr="009C0829" w:rsidRDefault="009C0829" w:rsidP="009C0829">
            <w:pPr>
              <w:spacing w:after="0" w:line="240" w:lineRule="auto"/>
              <w:rPr>
                <w:rFonts w:ascii="Calibri" w:eastAsia="Times New Roman" w:hAnsi="Calibri" w:cs="Calibri"/>
                <w:color w:val="000000"/>
              </w:rPr>
            </w:pPr>
          </w:p>
          <w:p w14:paraId="2DE38157" w14:textId="77777777" w:rsidR="009C0829" w:rsidRPr="009C0829" w:rsidRDefault="009C0829" w:rsidP="009C0829">
            <w:pPr>
              <w:spacing w:after="0" w:line="240" w:lineRule="auto"/>
              <w:rPr>
                <w:rFonts w:ascii="Calibri" w:eastAsia="Times New Roman" w:hAnsi="Calibri" w:cs="Calibri"/>
                <w:color w:val="000000"/>
              </w:rPr>
            </w:pPr>
          </w:p>
          <w:p w14:paraId="0BE5C385" w14:textId="77777777" w:rsidR="009C0829" w:rsidRPr="009C0829" w:rsidRDefault="009C0829" w:rsidP="009C0829">
            <w:pPr>
              <w:spacing w:after="0" w:line="240" w:lineRule="auto"/>
              <w:rPr>
                <w:rFonts w:ascii="Calibri" w:eastAsia="Times New Roman" w:hAnsi="Calibri" w:cs="Calibri"/>
                <w:color w:val="000000"/>
              </w:rPr>
            </w:pPr>
          </w:p>
        </w:tc>
        <w:tc>
          <w:tcPr>
            <w:tcW w:w="12330" w:type="dxa"/>
            <w:gridSpan w:val="7"/>
            <w:tcBorders>
              <w:top w:val="single" w:sz="4" w:space="0" w:color="auto"/>
              <w:left w:val="single" w:sz="4" w:space="0" w:color="auto"/>
              <w:bottom w:val="nil"/>
              <w:right w:val="single" w:sz="4" w:space="0" w:color="auto"/>
            </w:tcBorders>
            <w:shd w:val="clear" w:color="auto" w:fill="FFFFFF"/>
            <w:noWrap/>
            <w:vAlign w:val="bottom"/>
          </w:tcPr>
          <w:p w14:paraId="088A81CA" w14:textId="77777777" w:rsidR="009C0829" w:rsidRPr="009C0829" w:rsidRDefault="009C0829" w:rsidP="009C0829">
            <w:pPr>
              <w:spacing w:after="0" w:line="240" w:lineRule="auto"/>
              <w:jc w:val="center"/>
              <w:rPr>
                <w:rFonts w:ascii="Calibri" w:eastAsia="Times New Roman" w:hAnsi="Calibri" w:cs="Calibri"/>
                <w:b/>
                <w:color w:val="000000"/>
                <w:sz w:val="24"/>
                <w:szCs w:val="24"/>
              </w:rPr>
            </w:pPr>
            <w:r w:rsidRPr="009C0829">
              <w:rPr>
                <w:rFonts w:ascii="Calibri" w:eastAsia="Times New Roman" w:hAnsi="Calibri" w:cs="Calibri"/>
                <w:b/>
                <w:color w:val="000000"/>
                <w:sz w:val="24"/>
                <w:szCs w:val="24"/>
              </w:rPr>
              <w:t>Mandatory Fee Request – Per Semester (Fee Capped at 8 hours)</w:t>
            </w:r>
          </w:p>
          <w:p w14:paraId="44A1C5E6" w14:textId="77777777" w:rsidR="009C0829" w:rsidRPr="009C0829" w:rsidRDefault="009C0829" w:rsidP="009C0829">
            <w:pPr>
              <w:spacing w:after="0" w:line="240" w:lineRule="auto"/>
              <w:jc w:val="center"/>
              <w:rPr>
                <w:rFonts w:ascii="Calibri" w:eastAsia="Times New Roman" w:hAnsi="Calibri" w:cs="Calibri"/>
                <w:b/>
                <w:color w:val="000000"/>
                <w:sz w:val="24"/>
                <w:szCs w:val="24"/>
              </w:rPr>
            </w:pPr>
          </w:p>
        </w:tc>
      </w:tr>
      <w:tr w:rsidR="009C0829" w:rsidRPr="009C0829" w14:paraId="10F2EE94"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hideMark/>
          </w:tcPr>
          <w:p w14:paraId="4E56C7E5"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3690" w:type="dxa"/>
            <w:tcBorders>
              <w:top w:val="nil"/>
              <w:left w:val="single" w:sz="4" w:space="0" w:color="auto"/>
              <w:bottom w:val="nil"/>
              <w:right w:val="nil"/>
            </w:tcBorders>
            <w:shd w:val="clear" w:color="auto" w:fill="FFFFFF"/>
            <w:noWrap/>
            <w:vAlign w:val="bottom"/>
            <w:hideMark/>
          </w:tcPr>
          <w:p w14:paraId="723F8DB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nil"/>
              <w:right w:val="nil"/>
            </w:tcBorders>
            <w:shd w:val="clear" w:color="auto" w:fill="FFFFFF"/>
            <w:noWrap/>
            <w:vAlign w:val="bottom"/>
            <w:hideMark/>
          </w:tcPr>
          <w:p w14:paraId="0B2C39B7"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2025-26</w:t>
            </w:r>
          </w:p>
        </w:tc>
        <w:tc>
          <w:tcPr>
            <w:tcW w:w="1530" w:type="dxa"/>
            <w:tcBorders>
              <w:top w:val="nil"/>
              <w:left w:val="nil"/>
              <w:bottom w:val="nil"/>
              <w:right w:val="nil"/>
            </w:tcBorders>
            <w:shd w:val="clear" w:color="auto" w:fill="FFFFFF"/>
            <w:noWrap/>
            <w:vAlign w:val="bottom"/>
            <w:hideMark/>
          </w:tcPr>
          <w:p w14:paraId="3AAED6C1"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1530" w:type="dxa"/>
            <w:tcBorders>
              <w:top w:val="nil"/>
              <w:left w:val="nil"/>
              <w:bottom w:val="nil"/>
              <w:right w:val="nil"/>
            </w:tcBorders>
            <w:shd w:val="clear" w:color="auto" w:fill="FFFFFF"/>
            <w:noWrap/>
            <w:vAlign w:val="bottom"/>
            <w:hideMark/>
          </w:tcPr>
          <w:p w14:paraId="60718992"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2610" w:type="dxa"/>
            <w:gridSpan w:val="2"/>
            <w:tcBorders>
              <w:top w:val="nil"/>
              <w:left w:val="nil"/>
              <w:bottom w:val="single" w:sz="4" w:space="0" w:color="auto"/>
              <w:right w:val="nil"/>
            </w:tcBorders>
            <w:shd w:val="clear" w:color="auto" w:fill="FFFFFF"/>
            <w:noWrap/>
            <w:vAlign w:val="bottom"/>
            <w:hideMark/>
          </w:tcPr>
          <w:p w14:paraId="7EB78F9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Change</w:t>
            </w:r>
          </w:p>
        </w:tc>
        <w:tc>
          <w:tcPr>
            <w:tcW w:w="1440" w:type="dxa"/>
            <w:tcBorders>
              <w:left w:val="nil"/>
              <w:bottom w:val="nil"/>
              <w:right w:val="single" w:sz="4" w:space="0" w:color="auto"/>
            </w:tcBorders>
            <w:shd w:val="clear" w:color="auto" w:fill="FFFFFF"/>
            <w:noWrap/>
            <w:vAlign w:val="bottom"/>
            <w:hideMark/>
          </w:tcPr>
          <w:p w14:paraId="630D5140"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xml:space="preserve">Additional </w:t>
            </w:r>
          </w:p>
        </w:tc>
      </w:tr>
      <w:tr w:rsidR="009C0829" w:rsidRPr="009C0829" w14:paraId="22F99064"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hideMark/>
          </w:tcPr>
          <w:p w14:paraId="52B74D9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3690" w:type="dxa"/>
            <w:tcBorders>
              <w:top w:val="nil"/>
              <w:left w:val="single" w:sz="4" w:space="0" w:color="auto"/>
              <w:bottom w:val="nil"/>
              <w:right w:val="nil"/>
            </w:tcBorders>
            <w:shd w:val="clear" w:color="auto" w:fill="FFFFFF"/>
            <w:noWrap/>
            <w:vAlign w:val="bottom"/>
            <w:hideMark/>
          </w:tcPr>
          <w:p w14:paraId="5D27E7E0"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nil"/>
              <w:right w:val="nil"/>
            </w:tcBorders>
            <w:shd w:val="clear" w:color="auto" w:fill="FFFFFF"/>
            <w:noWrap/>
            <w:vAlign w:val="bottom"/>
            <w:hideMark/>
          </w:tcPr>
          <w:p w14:paraId="5EF776A8"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Current</w:t>
            </w:r>
          </w:p>
        </w:tc>
        <w:tc>
          <w:tcPr>
            <w:tcW w:w="1530" w:type="dxa"/>
            <w:tcBorders>
              <w:top w:val="nil"/>
              <w:left w:val="nil"/>
              <w:bottom w:val="nil"/>
              <w:right w:val="nil"/>
            </w:tcBorders>
            <w:shd w:val="clear" w:color="auto" w:fill="FFFFFF"/>
            <w:noWrap/>
            <w:vAlign w:val="bottom"/>
            <w:hideMark/>
          </w:tcPr>
          <w:p w14:paraId="568FF5A7"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Min</w:t>
            </w:r>
          </w:p>
        </w:tc>
        <w:tc>
          <w:tcPr>
            <w:tcW w:w="1530" w:type="dxa"/>
            <w:tcBorders>
              <w:top w:val="nil"/>
              <w:left w:val="nil"/>
              <w:bottom w:val="nil"/>
              <w:right w:val="nil"/>
            </w:tcBorders>
            <w:shd w:val="clear" w:color="auto" w:fill="FFFFFF"/>
            <w:noWrap/>
            <w:vAlign w:val="bottom"/>
            <w:hideMark/>
          </w:tcPr>
          <w:p w14:paraId="6BCFF3B6"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Max</w:t>
            </w:r>
          </w:p>
        </w:tc>
        <w:tc>
          <w:tcPr>
            <w:tcW w:w="1260" w:type="dxa"/>
            <w:tcBorders>
              <w:top w:val="nil"/>
              <w:left w:val="nil"/>
              <w:bottom w:val="single" w:sz="4" w:space="0" w:color="auto"/>
              <w:right w:val="nil"/>
            </w:tcBorders>
            <w:shd w:val="clear" w:color="auto" w:fill="FFFFFF"/>
            <w:noWrap/>
            <w:vAlign w:val="bottom"/>
            <w:hideMark/>
          </w:tcPr>
          <w:p w14:paraId="23C58A79"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350" w:type="dxa"/>
            <w:tcBorders>
              <w:top w:val="nil"/>
              <w:left w:val="nil"/>
              <w:bottom w:val="single" w:sz="4" w:space="0" w:color="auto"/>
              <w:right w:val="nil"/>
            </w:tcBorders>
            <w:shd w:val="clear" w:color="auto" w:fill="FFFFFF"/>
            <w:noWrap/>
            <w:vAlign w:val="bottom"/>
            <w:hideMark/>
          </w:tcPr>
          <w:p w14:paraId="6C5E1973"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440" w:type="dxa"/>
            <w:tcBorders>
              <w:top w:val="nil"/>
              <w:left w:val="nil"/>
              <w:bottom w:val="nil"/>
              <w:right w:val="single" w:sz="4" w:space="0" w:color="auto"/>
            </w:tcBorders>
            <w:shd w:val="clear" w:color="auto" w:fill="FFFFFF"/>
            <w:noWrap/>
            <w:vAlign w:val="bottom"/>
            <w:hideMark/>
          </w:tcPr>
          <w:p w14:paraId="71033448"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Revenue</w:t>
            </w:r>
          </w:p>
        </w:tc>
      </w:tr>
      <w:tr w:rsidR="009C0829" w:rsidRPr="009C0829" w14:paraId="51707F3B"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hideMark/>
          </w:tcPr>
          <w:p w14:paraId="5B2504E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3690" w:type="dxa"/>
            <w:tcBorders>
              <w:top w:val="nil"/>
              <w:left w:val="single" w:sz="4" w:space="0" w:color="auto"/>
              <w:bottom w:val="nil"/>
              <w:right w:val="nil"/>
            </w:tcBorders>
            <w:shd w:val="clear" w:color="auto" w:fill="FFFFFF"/>
            <w:noWrap/>
            <w:vAlign w:val="bottom"/>
            <w:hideMark/>
          </w:tcPr>
          <w:p w14:paraId="3639CAB7"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FFFFFF"/>
            <w:noWrap/>
            <w:vAlign w:val="bottom"/>
            <w:hideMark/>
          </w:tcPr>
          <w:p w14:paraId="62229C2E"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FFFFFF"/>
            <w:noWrap/>
            <w:vAlign w:val="bottom"/>
            <w:hideMark/>
          </w:tcPr>
          <w:p w14:paraId="64CE7869" w14:textId="77777777" w:rsidR="009C0829" w:rsidRPr="009C0829" w:rsidRDefault="009C0829" w:rsidP="009C0829">
            <w:pPr>
              <w:spacing w:after="0" w:line="240" w:lineRule="auto"/>
              <w:jc w:val="center"/>
              <w:rPr>
                <w:rFonts w:ascii="Calibri" w:eastAsia="Times New Roman" w:hAnsi="Calibri" w:cs="Calibri"/>
                <w:b/>
                <w:bCs/>
                <w:color w:val="000000"/>
              </w:rPr>
            </w:pPr>
            <w:r w:rsidRPr="009C0829">
              <w:rPr>
                <w:rFonts w:ascii="Calibri" w:eastAsia="Times New Roman" w:hAnsi="Calibri" w:cs="Calibri"/>
                <w:b/>
                <w:bCs/>
                <w:color w:val="000000"/>
              </w:rPr>
              <w:t>3.05%</w:t>
            </w:r>
          </w:p>
        </w:tc>
        <w:tc>
          <w:tcPr>
            <w:tcW w:w="1530" w:type="dxa"/>
            <w:tcBorders>
              <w:top w:val="nil"/>
              <w:left w:val="nil"/>
              <w:bottom w:val="single" w:sz="4" w:space="0" w:color="auto"/>
              <w:right w:val="nil"/>
            </w:tcBorders>
            <w:shd w:val="clear" w:color="auto" w:fill="FFFFFF"/>
            <w:noWrap/>
            <w:vAlign w:val="bottom"/>
            <w:hideMark/>
          </w:tcPr>
          <w:p w14:paraId="5FEE3CF8" w14:textId="77777777" w:rsidR="009C0829" w:rsidRPr="009C0829" w:rsidRDefault="009C0829" w:rsidP="009C0829">
            <w:pPr>
              <w:spacing w:after="0" w:line="240" w:lineRule="auto"/>
              <w:jc w:val="center"/>
              <w:rPr>
                <w:rFonts w:ascii="Calibri" w:eastAsia="Times New Roman" w:hAnsi="Calibri" w:cs="Calibri"/>
                <w:b/>
                <w:bCs/>
                <w:color w:val="000000"/>
              </w:rPr>
            </w:pPr>
            <w:r w:rsidRPr="009C0829">
              <w:rPr>
                <w:rFonts w:ascii="Calibri" w:eastAsia="Times New Roman" w:hAnsi="Calibri" w:cs="Calibri"/>
                <w:b/>
                <w:bCs/>
                <w:color w:val="000000"/>
              </w:rPr>
              <w:t>4.58%</w:t>
            </w:r>
          </w:p>
        </w:tc>
        <w:tc>
          <w:tcPr>
            <w:tcW w:w="1260" w:type="dxa"/>
            <w:tcBorders>
              <w:top w:val="nil"/>
              <w:left w:val="nil"/>
              <w:bottom w:val="single" w:sz="4" w:space="0" w:color="auto"/>
              <w:right w:val="nil"/>
            </w:tcBorders>
            <w:shd w:val="clear" w:color="auto" w:fill="FFFFFF"/>
            <w:noWrap/>
            <w:vAlign w:val="bottom"/>
            <w:hideMark/>
          </w:tcPr>
          <w:p w14:paraId="51A5D45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Min</w:t>
            </w:r>
          </w:p>
        </w:tc>
        <w:tc>
          <w:tcPr>
            <w:tcW w:w="1350" w:type="dxa"/>
            <w:tcBorders>
              <w:top w:val="nil"/>
              <w:left w:val="nil"/>
              <w:bottom w:val="single" w:sz="4" w:space="0" w:color="auto"/>
              <w:right w:val="nil"/>
            </w:tcBorders>
            <w:shd w:val="clear" w:color="auto" w:fill="FFFFFF"/>
            <w:noWrap/>
            <w:vAlign w:val="bottom"/>
            <w:hideMark/>
          </w:tcPr>
          <w:p w14:paraId="61D06DDD"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Max</w:t>
            </w:r>
          </w:p>
        </w:tc>
        <w:tc>
          <w:tcPr>
            <w:tcW w:w="1440" w:type="dxa"/>
            <w:tcBorders>
              <w:top w:val="nil"/>
              <w:left w:val="nil"/>
              <w:bottom w:val="single" w:sz="4" w:space="0" w:color="auto"/>
              <w:right w:val="single" w:sz="4" w:space="0" w:color="auto"/>
            </w:tcBorders>
            <w:shd w:val="clear" w:color="auto" w:fill="FFFFFF"/>
            <w:noWrap/>
            <w:vAlign w:val="bottom"/>
            <w:hideMark/>
          </w:tcPr>
          <w:p w14:paraId="1413AA1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r w:rsidR="009C0829" w:rsidRPr="009C0829" w14:paraId="3435F802"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hideMark/>
          </w:tcPr>
          <w:p w14:paraId="63CDDC96"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3690" w:type="dxa"/>
            <w:tcBorders>
              <w:top w:val="nil"/>
              <w:left w:val="single" w:sz="4" w:space="0" w:color="auto"/>
              <w:bottom w:val="nil"/>
              <w:right w:val="nil"/>
            </w:tcBorders>
            <w:shd w:val="clear" w:color="auto" w:fill="FFFFFF"/>
            <w:noWrap/>
            <w:vAlign w:val="bottom"/>
            <w:hideMark/>
          </w:tcPr>
          <w:p w14:paraId="6B9464BE"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Program Service Fee</w:t>
            </w:r>
          </w:p>
        </w:tc>
        <w:tc>
          <w:tcPr>
            <w:tcW w:w="1530" w:type="dxa"/>
            <w:tcBorders>
              <w:top w:val="nil"/>
              <w:left w:val="nil"/>
              <w:bottom w:val="nil"/>
              <w:right w:val="nil"/>
            </w:tcBorders>
            <w:shd w:val="clear" w:color="auto" w:fill="FFFFFF"/>
            <w:noWrap/>
            <w:vAlign w:val="bottom"/>
            <w:hideMark/>
          </w:tcPr>
          <w:p w14:paraId="36E9CFB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 $           1,048 </w:t>
            </w:r>
          </w:p>
        </w:tc>
        <w:tc>
          <w:tcPr>
            <w:tcW w:w="1530" w:type="dxa"/>
            <w:tcBorders>
              <w:top w:val="nil"/>
              <w:left w:val="nil"/>
              <w:bottom w:val="nil"/>
              <w:right w:val="nil"/>
            </w:tcBorders>
            <w:shd w:val="clear" w:color="auto" w:fill="FFFFFF"/>
            <w:noWrap/>
            <w:vAlign w:val="bottom"/>
            <w:hideMark/>
          </w:tcPr>
          <w:p w14:paraId="42D1D779"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 $            1,080 </w:t>
            </w:r>
          </w:p>
        </w:tc>
        <w:tc>
          <w:tcPr>
            <w:tcW w:w="1530" w:type="dxa"/>
            <w:tcBorders>
              <w:top w:val="nil"/>
              <w:left w:val="nil"/>
              <w:bottom w:val="nil"/>
              <w:right w:val="nil"/>
            </w:tcBorders>
            <w:shd w:val="clear" w:color="auto" w:fill="FFFFFF"/>
            <w:noWrap/>
            <w:vAlign w:val="bottom"/>
            <w:hideMark/>
          </w:tcPr>
          <w:p w14:paraId="074427C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 $            1,096 </w:t>
            </w:r>
          </w:p>
        </w:tc>
        <w:tc>
          <w:tcPr>
            <w:tcW w:w="1260" w:type="dxa"/>
            <w:tcBorders>
              <w:top w:val="nil"/>
              <w:left w:val="nil"/>
              <w:bottom w:val="nil"/>
              <w:right w:val="nil"/>
            </w:tcBorders>
            <w:shd w:val="clear" w:color="auto" w:fill="FFFFFF"/>
            <w:noWrap/>
            <w:vAlign w:val="bottom"/>
            <w:hideMark/>
          </w:tcPr>
          <w:p w14:paraId="5CB7E46C"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 $            32</w:t>
            </w:r>
          </w:p>
        </w:tc>
        <w:tc>
          <w:tcPr>
            <w:tcW w:w="1350" w:type="dxa"/>
            <w:tcBorders>
              <w:top w:val="nil"/>
              <w:left w:val="nil"/>
              <w:bottom w:val="nil"/>
            </w:tcBorders>
            <w:shd w:val="clear" w:color="auto" w:fill="FFFFFF"/>
            <w:noWrap/>
            <w:vAlign w:val="bottom"/>
            <w:hideMark/>
          </w:tcPr>
          <w:p w14:paraId="15C2F43B"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 $          48 </w:t>
            </w:r>
          </w:p>
        </w:tc>
        <w:tc>
          <w:tcPr>
            <w:tcW w:w="1440" w:type="dxa"/>
            <w:tcBorders>
              <w:top w:val="single" w:sz="4" w:space="0" w:color="auto"/>
              <w:right w:val="single" w:sz="4" w:space="0" w:color="auto"/>
            </w:tcBorders>
            <w:shd w:val="clear" w:color="auto" w:fill="FFFFFF"/>
            <w:noWrap/>
            <w:vAlign w:val="center"/>
            <w:hideMark/>
          </w:tcPr>
          <w:p w14:paraId="73202B9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$713,370 (min)</w:t>
            </w:r>
          </w:p>
        </w:tc>
      </w:tr>
      <w:tr w:rsidR="009C0829" w:rsidRPr="009C0829" w14:paraId="00556ED8"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157833C7"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3F6724F9"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73022977"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34FD9F3C"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00D294F2" w14:textId="77777777" w:rsidR="009C0829" w:rsidRPr="009C0829" w:rsidRDefault="009C0829" w:rsidP="009C0829">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FFFFFF"/>
            <w:noWrap/>
            <w:vAlign w:val="bottom"/>
          </w:tcPr>
          <w:p w14:paraId="29A8BAB8" w14:textId="77777777" w:rsidR="009C0829" w:rsidRPr="009C0829" w:rsidRDefault="009C0829" w:rsidP="009C0829">
            <w:pPr>
              <w:spacing w:after="0" w:line="240" w:lineRule="auto"/>
              <w:rPr>
                <w:rFonts w:ascii="Calibri" w:eastAsia="Times New Roman" w:hAnsi="Calibri" w:cs="Calibri"/>
                <w:color w:val="000000"/>
              </w:rPr>
            </w:pPr>
          </w:p>
        </w:tc>
        <w:tc>
          <w:tcPr>
            <w:tcW w:w="1350" w:type="dxa"/>
            <w:tcBorders>
              <w:top w:val="nil"/>
              <w:left w:val="nil"/>
              <w:bottom w:val="nil"/>
            </w:tcBorders>
            <w:shd w:val="clear" w:color="auto" w:fill="FFFFFF"/>
            <w:noWrap/>
            <w:vAlign w:val="bottom"/>
          </w:tcPr>
          <w:p w14:paraId="490FDE2A" w14:textId="77777777" w:rsidR="009C0829" w:rsidRPr="009C0829" w:rsidRDefault="009C0829" w:rsidP="009C0829">
            <w:pPr>
              <w:spacing w:after="0" w:line="240" w:lineRule="auto"/>
              <w:rPr>
                <w:rFonts w:ascii="Calibri" w:eastAsia="Times New Roman" w:hAnsi="Calibri" w:cs="Calibri"/>
                <w:color w:val="000000"/>
              </w:rPr>
            </w:pPr>
          </w:p>
        </w:tc>
        <w:tc>
          <w:tcPr>
            <w:tcW w:w="1440" w:type="dxa"/>
            <w:tcBorders>
              <w:right w:val="single" w:sz="4" w:space="0" w:color="auto"/>
            </w:tcBorders>
            <w:shd w:val="clear" w:color="auto" w:fill="FFFFFF"/>
            <w:noWrap/>
            <w:vAlign w:val="center"/>
          </w:tcPr>
          <w:p w14:paraId="00CAD4E1"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78D2F260"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688A034C"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11AD741B"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464BF6B1"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6B43B7B2"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1FEB07E0" w14:textId="77777777" w:rsidR="009C0829" w:rsidRPr="009C0829" w:rsidRDefault="009C0829" w:rsidP="009C0829">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FFFFFF"/>
            <w:noWrap/>
            <w:vAlign w:val="bottom"/>
          </w:tcPr>
          <w:p w14:paraId="1699D88C" w14:textId="77777777" w:rsidR="009C0829" w:rsidRPr="009C0829" w:rsidRDefault="009C0829" w:rsidP="009C0829">
            <w:pPr>
              <w:spacing w:after="0" w:line="240" w:lineRule="auto"/>
              <w:rPr>
                <w:rFonts w:ascii="Calibri" w:eastAsia="Times New Roman" w:hAnsi="Calibri" w:cs="Calibri"/>
                <w:color w:val="000000"/>
              </w:rPr>
            </w:pPr>
          </w:p>
        </w:tc>
        <w:tc>
          <w:tcPr>
            <w:tcW w:w="1350" w:type="dxa"/>
            <w:tcBorders>
              <w:top w:val="nil"/>
              <w:left w:val="nil"/>
              <w:bottom w:val="nil"/>
            </w:tcBorders>
            <w:shd w:val="clear" w:color="auto" w:fill="FFFFFF"/>
            <w:noWrap/>
            <w:vAlign w:val="bottom"/>
          </w:tcPr>
          <w:p w14:paraId="271520DE" w14:textId="77777777" w:rsidR="009C0829" w:rsidRPr="009C0829" w:rsidRDefault="009C0829" w:rsidP="009C0829">
            <w:pPr>
              <w:spacing w:after="0" w:line="240" w:lineRule="auto"/>
              <w:rPr>
                <w:rFonts w:ascii="Calibri" w:eastAsia="Times New Roman" w:hAnsi="Calibri" w:cs="Calibri"/>
                <w:color w:val="000000"/>
              </w:rPr>
            </w:pPr>
          </w:p>
        </w:tc>
        <w:tc>
          <w:tcPr>
            <w:tcW w:w="1440" w:type="dxa"/>
            <w:tcBorders>
              <w:right w:val="single" w:sz="4" w:space="0" w:color="auto"/>
            </w:tcBorders>
            <w:shd w:val="clear" w:color="auto" w:fill="FFFFFF"/>
            <w:noWrap/>
            <w:vAlign w:val="center"/>
          </w:tcPr>
          <w:p w14:paraId="709AAC5A"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$1,064,250</w:t>
            </w:r>
          </w:p>
        </w:tc>
      </w:tr>
      <w:tr w:rsidR="009C0829" w:rsidRPr="009C0829" w14:paraId="74134542"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4FA94C7A" w14:textId="77777777" w:rsidR="009C0829" w:rsidRPr="009C0829" w:rsidRDefault="009C0829" w:rsidP="009C0829">
            <w:pPr>
              <w:spacing w:after="0" w:line="240" w:lineRule="auto"/>
              <w:rPr>
                <w:rFonts w:ascii="Calibri" w:eastAsia="Times New Roman" w:hAnsi="Calibri" w:cs="Calibri"/>
                <w:color w:val="000000"/>
              </w:rPr>
            </w:pPr>
          </w:p>
        </w:tc>
        <w:tc>
          <w:tcPr>
            <w:tcW w:w="10890" w:type="dxa"/>
            <w:gridSpan w:val="6"/>
            <w:tcBorders>
              <w:top w:val="nil"/>
              <w:left w:val="single" w:sz="4" w:space="0" w:color="auto"/>
            </w:tcBorders>
            <w:shd w:val="clear" w:color="auto" w:fill="FFFFFF"/>
            <w:noWrap/>
            <w:vAlign w:val="bottom"/>
          </w:tcPr>
          <w:p w14:paraId="2CE7CB0C"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*Increase Recreational Life, Intramurals, and other related activities and Parking/Campus Access</w:t>
            </w:r>
          </w:p>
        </w:tc>
        <w:tc>
          <w:tcPr>
            <w:tcW w:w="1440" w:type="dxa"/>
            <w:tcBorders>
              <w:right w:val="single" w:sz="4" w:space="0" w:color="auto"/>
            </w:tcBorders>
            <w:shd w:val="clear" w:color="auto" w:fill="FFFFFF"/>
            <w:noWrap/>
            <w:vAlign w:val="center"/>
          </w:tcPr>
          <w:p w14:paraId="53656652"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(max)</w:t>
            </w:r>
          </w:p>
        </w:tc>
      </w:tr>
      <w:tr w:rsidR="009C0829" w:rsidRPr="009C0829" w14:paraId="6CA540A6"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2254DD47"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single" w:sz="4" w:space="0" w:color="auto"/>
              <w:right w:val="nil"/>
            </w:tcBorders>
            <w:shd w:val="clear" w:color="auto" w:fill="FFFFFF"/>
            <w:noWrap/>
            <w:vAlign w:val="bottom"/>
          </w:tcPr>
          <w:p w14:paraId="2CB9C0A4"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FFFFFF"/>
            <w:noWrap/>
            <w:vAlign w:val="bottom"/>
          </w:tcPr>
          <w:p w14:paraId="6D2010DE"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FFFFFF"/>
            <w:noWrap/>
            <w:vAlign w:val="bottom"/>
          </w:tcPr>
          <w:p w14:paraId="023404D2"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FFFFFF"/>
            <w:noWrap/>
            <w:vAlign w:val="bottom"/>
          </w:tcPr>
          <w:p w14:paraId="20A99C9F" w14:textId="77777777" w:rsidR="009C0829" w:rsidRPr="009C0829" w:rsidRDefault="009C0829" w:rsidP="009C0829">
            <w:pPr>
              <w:spacing w:after="0" w:line="240" w:lineRule="auto"/>
              <w:rPr>
                <w:rFonts w:ascii="Calibri" w:eastAsia="Times New Roman" w:hAnsi="Calibri" w:cs="Calibri"/>
                <w:color w:val="000000"/>
              </w:rPr>
            </w:pPr>
          </w:p>
        </w:tc>
        <w:tc>
          <w:tcPr>
            <w:tcW w:w="1260" w:type="dxa"/>
            <w:tcBorders>
              <w:top w:val="nil"/>
              <w:left w:val="nil"/>
              <w:bottom w:val="single" w:sz="4" w:space="0" w:color="auto"/>
              <w:right w:val="nil"/>
            </w:tcBorders>
            <w:shd w:val="clear" w:color="auto" w:fill="FFFFFF"/>
            <w:noWrap/>
            <w:vAlign w:val="bottom"/>
          </w:tcPr>
          <w:p w14:paraId="25EA3950" w14:textId="77777777" w:rsidR="009C0829" w:rsidRPr="009C0829" w:rsidRDefault="009C0829" w:rsidP="009C0829">
            <w:pPr>
              <w:spacing w:after="0" w:line="240" w:lineRule="auto"/>
              <w:rPr>
                <w:rFonts w:ascii="Calibri" w:eastAsia="Times New Roman" w:hAnsi="Calibri" w:cs="Calibri"/>
                <w:color w:val="000000"/>
              </w:rPr>
            </w:pPr>
          </w:p>
        </w:tc>
        <w:tc>
          <w:tcPr>
            <w:tcW w:w="1350" w:type="dxa"/>
            <w:tcBorders>
              <w:top w:val="nil"/>
              <w:left w:val="nil"/>
              <w:bottom w:val="single" w:sz="4" w:space="0" w:color="auto"/>
            </w:tcBorders>
            <w:shd w:val="clear" w:color="auto" w:fill="FFFFFF"/>
            <w:noWrap/>
            <w:vAlign w:val="bottom"/>
          </w:tcPr>
          <w:p w14:paraId="25A5695D" w14:textId="77777777" w:rsidR="009C0829" w:rsidRPr="009C0829" w:rsidRDefault="009C0829" w:rsidP="009C0829">
            <w:pPr>
              <w:spacing w:after="0" w:line="240" w:lineRule="auto"/>
              <w:rPr>
                <w:rFonts w:ascii="Calibri" w:eastAsia="Times New Roman" w:hAnsi="Calibri" w:cs="Calibri"/>
                <w:color w:val="000000"/>
              </w:rPr>
            </w:pPr>
          </w:p>
        </w:tc>
        <w:tc>
          <w:tcPr>
            <w:tcW w:w="1440" w:type="dxa"/>
            <w:tcBorders>
              <w:bottom w:val="single" w:sz="4" w:space="0" w:color="auto"/>
              <w:right w:val="single" w:sz="4" w:space="0" w:color="auto"/>
            </w:tcBorders>
            <w:shd w:val="clear" w:color="auto" w:fill="FFFFFF"/>
            <w:noWrap/>
            <w:vAlign w:val="center"/>
          </w:tcPr>
          <w:p w14:paraId="55C7CA35"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41BABE7A" w14:textId="77777777" w:rsidTr="009C0829">
        <w:trPr>
          <w:trHeight w:val="300"/>
          <w:jc w:val="center"/>
        </w:trPr>
        <w:tc>
          <w:tcPr>
            <w:tcW w:w="720" w:type="dxa"/>
            <w:tcBorders>
              <w:top w:val="nil"/>
              <w:left w:val="nil"/>
              <w:bottom w:val="nil"/>
            </w:tcBorders>
            <w:shd w:val="clear" w:color="auto" w:fill="FFFFFF"/>
            <w:noWrap/>
            <w:vAlign w:val="bottom"/>
          </w:tcPr>
          <w:p w14:paraId="1AAE01A4"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single" w:sz="4" w:space="0" w:color="auto"/>
              <w:bottom w:val="single" w:sz="4" w:space="0" w:color="auto"/>
              <w:right w:val="nil"/>
            </w:tcBorders>
            <w:shd w:val="clear" w:color="auto" w:fill="FFFFFF"/>
            <w:noWrap/>
            <w:vAlign w:val="bottom"/>
          </w:tcPr>
          <w:p w14:paraId="2081A242"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single" w:sz="4" w:space="0" w:color="auto"/>
              <w:left w:val="nil"/>
              <w:bottom w:val="single" w:sz="4" w:space="0" w:color="auto"/>
              <w:right w:val="nil"/>
            </w:tcBorders>
            <w:shd w:val="clear" w:color="auto" w:fill="FFFFFF"/>
            <w:noWrap/>
            <w:vAlign w:val="bottom"/>
          </w:tcPr>
          <w:p w14:paraId="283A81DD"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single" w:sz="4" w:space="0" w:color="auto"/>
              <w:left w:val="nil"/>
              <w:bottom w:val="single" w:sz="4" w:space="0" w:color="auto"/>
              <w:right w:val="nil"/>
            </w:tcBorders>
            <w:shd w:val="clear" w:color="auto" w:fill="FFFFFF"/>
            <w:noWrap/>
            <w:vAlign w:val="bottom"/>
          </w:tcPr>
          <w:p w14:paraId="6794C47D"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single" w:sz="4" w:space="0" w:color="auto"/>
              <w:left w:val="nil"/>
              <w:bottom w:val="single" w:sz="4" w:space="0" w:color="auto"/>
              <w:right w:val="nil"/>
            </w:tcBorders>
            <w:shd w:val="clear" w:color="auto" w:fill="FFFFFF"/>
            <w:noWrap/>
            <w:vAlign w:val="bottom"/>
          </w:tcPr>
          <w:p w14:paraId="5142DB02" w14:textId="77777777" w:rsidR="009C0829" w:rsidRPr="009C0829" w:rsidRDefault="009C0829" w:rsidP="009C0829">
            <w:pPr>
              <w:spacing w:after="0" w:line="240" w:lineRule="auto"/>
              <w:rPr>
                <w:rFonts w:ascii="Calibri" w:eastAsia="Times New Roman" w:hAnsi="Calibri" w:cs="Calibri"/>
                <w:color w:val="000000"/>
              </w:rPr>
            </w:pPr>
          </w:p>
        </w:tc>
        <w:tc>
          <w:tcPr>
            <w:tcW w:w="1260" w:type="dxa"/>
            <w:tcBorders>
              <w:top w:val="single" w:sz="4" w:space="0" w:color="auto"/>
              <w:left w:val="nil"/>
              <w:bottom w:val="single" w:sz="4" w:space="0" w:color="auto"/>
              <w:right w:val="nil"/>
            </w:tcBorders>
            <w:shd w:val="clear" w:color="auto" w:fill="FFFFFF"/>
            <w:noWrap/>
            <w:vAlign w:val="bottom"/>
          </w:tcPr>
          <w:p w14:paraId="0CD8AF46" w14:textId="77777777" w:rsidR="009C0829" w:rsidRPr="009C0829" w:rsidRDefault="009C0829" w:rsidP="009C0829">
            <w:pPr>
              <w:spacing w:after="0" w:line="240" w:lineRule="auto"/>
              <w:rPr>
                <w:rFonts w:ascii="Calibri" w:eastAsia="Times New Roman" w:hAnsi="Calibri" w:cs="Calibri"/>
                <w:color w:val="000000"/>
              </w:rPr>
            </w:pPr>
          </w:p>
        </w:tc>
        <w:tc>
          <w:tcPr>
            <w:tcW w:w="1350" w:type="dxa"/>
            <w:tcBorders>
              <w:top w:val="single" w:sz="4" w:space="0" w:color="auto"/>
              <w:left w:val="nil"/>
              <w:bottom w:val="single" w:sz="4" w:space="0" w:color="auto"/>
            </w:tcBorders>
            <w:shd w:val="clear" w:color="auto" w:fill="FFFFFF"/>
            <w:noWrap/>
            <w:vAlign w:val="bottom"/>
          </w:tcPr>
          <w:p w14:paraId="6FC8D835" w14:textId="77777777" w:rsidR="009C0829" w:rsidRPr="009C0829" w:rsidRDefault="009C0829" w:rsidP="009C0829">
            <w:pPr>
              <w:spacing w:after="0" w:line="240" w:lineRule="auto"/>
              <w:rPr>
                <w:rFonts w:ascii="Calibri" w:eastAsia="Times New Roman" w:hAnsi="Calibri" w:cs="Calibri"/>
                <w:color w:val="000000"/>
              </w:rPr>
            </w:pPr>
          </w:p>
        </w:tc>
        <w:tc>
          <w:tcPr>
            <w:tcW w:w="1440" w:type="dxa"/>
            <w:tcBorders>
              <w:top w:val="single" w:sz="4" w:space="0" w:color="auto"/>
              <w:bottom w:val="single" w:sz="4" w:space="0" w:color="auto"/>
            </w:tcBorders>
            <w:shd w:val="clear" w:color="auto" w:fill="FFFFFF"/>
            <w:noWrap/>
            <w:vAlign w:val="center"/>
          </w:tcPr>
          <w:p w14:paraId="071B69E9"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53DB2881"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342A15F4" w14:textId="77777777" w:rsidR="009C0829" w:rsidRPr="009C0829" w:rsidRDefault="009C0829" w:rsidP="009C0829">
            <w:pPr>
              <w:spacing w:after="0" w:line="240" w:lineRule="auto"/>
              <w:rPr>
                <w:rFonts w:ascii="Calibri" w:eastAsia="Times New Roman" w:hAnsi="Calibri" w:cs="Calibri"/>
                <w:color w:val="000000"/>
              </w:rPr>
            </w:pPr>
          </w:p>
        </w:tc>
        <w:tc>
          <w:tcPr>
            <w:tcW w:w="12330" w:type="dxa"/>
            <w:gridSpan w:val="7"/>
            <w:tcBorders>
              <w:top w:val="single" w:sz="4" w:space="0" w:color="auto"/>
              <w:left w:val="single" w:sz="4" w:space="0" w:color="auto"/>
              <w:right w:val="single" w:sz="4" w:space="0" w:color="auto"/>
            </w:tcBorders>
            <w:shd w:val="clear" w:color="auto" w:fill="FFFFFF"/>
            <w:noWrap/>
            <w:vAlign w:val="bottom"/>
          </w:tcPr>
          <w:p w14:paraId="4D98FDFE" w14:textId="77777777" w:rsidR="009C0829" w:rsidRPr="009C0829" w:rsidRDefault="009C0829" w:rsidP="009C0829">
            <w:pPr>
              <w:spacing w:after="0" w:line="240" w:lineRule="auto"/>
              <w:jc w:val="center"/>
              <w:rPr>
                <w:rFonts w:ascii="Calibri" w:eastAsia="Times New Roman" w:hAnsi="Calibri" w:cs="Calibri"/>
                <w:b/>
                <w:color w:val="000000"/>
                <w:sz w:val="24"/>
                <w:szCs w:val="24"/>
              </w:rPr>
            </w:pPr>
            <w:r w:rsidRPr="009C0829">
              <w:rPr>
                <w:rFonts w:ascii="Calibri" w:eastAsia="Times New Roman" w:hAnsi="Calibri" w:cs="Calibri"/>
                <w:b/>
                <w:color w:val="000000"/>
                <w:sz w:val="24"/>
                <w:szCs w:val="24"/>
              </w:rPr>
              <w:t>Undergraduate In State Tuition and Mandatory Fee Request</w:t>
            </w:r>
          </w:p>
          <w:p w14:paraId="0154D6A3" w14:textId="77777777" w:rsidR="009C0829" w:rsidRPr="009C0829" w:rsidRDefault="009C0829" w:rsidP="009C0829">
            <w:pPr>
              <w:spacing w:after="0" w:line="240" w:lineRule="auto"/>
              <w:jc w:val="center"/>
              <w:rPr>
                <w:rFonts w:ascii="Calibri" w:eastAsia="Times New Roman" w:hAnsi="Calibri" w:cs="Calibri"/>
                <w:b/>
                <w:color w:val="000000"/>
                <w:sz w:val="24"/>
                <w:szCs w:val="24"/>
              </w:rPr>
            </w:pPr>
            <w:r w:rsidRPr="009C0829">
              <w:rPr>
                <w:rFonts w:ascii="Calibri" w:eastAsia="Times New Roman" w:hAnsi="Calibri" w:cs="Calibri"/>
                <w:b/>
                <w:color w:val="000000"/>
                <w:sz w:val="24"/>
                <w:szCs w:val="24"/>
              </w:rPr>
              <w:t>Per Academic Year</w:t>
            </w:r>
          </w:p>
          <w:p w14:paraId="2EBAEB21" w14:textId="77777777" w:rsidR="009C0829" w:rsidRPr="009C0829" w:rsidRDefault="009C0829" w:rsidP="009C0829">
            <w:pPr>
              <w:spacing w:after="0" w:line="240" w:lineRule="auto"/>
              <w:jc w:val="center"/>
              <w:rPr>
                <w:rFonts w:ascii="Calibri" w:eastAsia="Times New Roman" w:hAnsi="Calibri" w:cs="Calibri"/>
                <w:b/>
                <w:color w:val="000000"/>
                <w:sz w:val="24"/>
                <w:szCs w:val="24"/>
              </w:rPr>
            </w:pPr>
          </w:p>
        </w:tc>
      </w:tr>
      <w:tr w:rsidR="009C0829" w:rsidRPr="009C0829" w14:paraId="32E84FCB"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19ADC833"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left w:val="single" w:sz="4" w:space="0" w:color="auto"/>
              <w:bottom w:val="nil"/>
              <w:right w:val="nil"/>
            </w:tcBorders>
            <w:shd w:val="clear" w:color="auto" w:fill="FFFFFF"/>
            <w:noWrap/>
            <w:vAlign w:val="bottom"/>
          </w:tcPr>
          <w:p w14:paraId="3AE61AE7"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left w:val="nil"/>
              <w:bottom w:val="nil"/>
              <w:right w:val="nil"/>
            </w:tcBorders>
            <w:shd w:val="clear" w:color="auto" w:fill="FFFFFF"/>
            <w:noWrap/>
            <w:vAlign w:val="bottom"/>
          </w:tcPr>
          <w:p w14:paraId="28A2E99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2025-26</w:t>
            </w:r>
          </w:p>
        </w:tc>
        <w:tc>
          <w:tcPr>
            <w:tcW w:w="1530" w:type="dxa"/>
            <w:tcBorders>
              <w:left w:val="nil"/>
              <w:bottom w:val="nil"/>
              <w:right w:val="nil"/>
            </w:tcBorders>
            <w:shd w:val="clear" w:color="auto" w:fill="FFFFFF"/>
            <w:noWrap/>
            <w:vAlign w:val="bottom"/>
          </w:tcPr>
          <w:p w14:paraId="0CE8C969"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1530" w:type="dxa"/>
            <w:tcBorders>
              <w:left w:val="nil"/>
              <w:bottom w:val="nil"/>
              <w:right w:val="nil"/>
            </w:tcBorders>
            <w:shd w:val="clear" w:color="auto" w:fill="FFFFFF"/>
            <w:noWrap/>
            <w:vAlign w:val="bottom"/>
          </w:tcPr>
          <w:p w14:paraId="59837C69"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2026-27</w:t>
            </w:r>
          </w:p>
        </w:tc>
        <w:tc>
          <w:tcPr>
            <w:tcW w:w="2610" w:type="dxa"/>
            <w:gridSpan w:val="2"/>
            <w:tcBorders>
              <w:left w:val="nil"/>
              <w:bottom w:val="single" w:sz="4" w:space="0" w:color="auto"/>
            </w:tcBorders>
            <w:shd w:val="clear" w:color="auto" w:fill="FFFFFF"/>
            <w:noWrap/>
            <w:vAlign w:val="bottom"/>
          </w:tcPr>
          <w:p w14:paraId="2448BBF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Change</w:t>
            </w:r>
          </w:p>
        </w:tc>
        <w:tc>
          <w:tcPr>
            <w:tcW w:w="1440" w:type="dxa"/>
            <w:tcBorders>
              <w:right w:val="single" w:sz="4" w:space="0" w:color="auto"/>
            </w:tcBorders>
            <w:shd w:val="clear" w:color="auto" w:fill="FFFFFF"/>
            <w:noWrap/>
            <w:vAlign w:val="center"/>
          </w:tcPr>
          <w:p w14:paraId="15608558"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016C29DE"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1549FBE3"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left w:val="single" w:sz="4" w:space="0" w:color="auto"/>
              <w:bottom w:val="nil"/>
              <w:right w:val="nil"/>
            </w:tcBorders>
            <w:shd w:val="clear" w:color="auto" w:fill="FFFFFF"/>
            <w:noWrap/>
            <w:vAlign w:val="bottom"/>
          </w:tcPr>
          <w:p w14:paraId="5250DE79"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left w:val="nil"/>
              <w:bottom w:val="nil"/>
              <w:right w:val="nil"/>
            </w:tcBorders>
            <w:shd w:val="clear" w:color="auto" w:fill="FFFFFF"/>
            <w:noWrap/>
            <w:vAlign w:val="bottom"/>
          </w:tcPr>
          <w:p w14:paraId="0373ABD7"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Current</w:t>
            </w:r>
          </w:p>
        </w:tc>
        <w:tc>
          <w:tcPr>
            <w:tcW w:w="1530" w:type="dxa"/>
            <w:tcBorders>
              <w:left w:val="nil"/>
              <w:bottom w:val="nil"/>
              <w:right w:val="nil"/>
            </w:tcBorders>
            <w:shd w:val="clear" w:color="auto" w:fill="FFFFFF"/>
            <w:noWrap/>
            <w:vAlign w:val="bottom"/>
          </w:tcPr>
          <w:p w14:paraId="07940F75"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Min</w:t>
            </w:r>
          </w:p>
        </w:tc>
        <w:tc>
          <w:tcPr>
            <w:tcW w:w="1530" w:type="dxa"/>
            <w:tcBorders>
              <w:left w:val="nil"/>
              <w:bottom w:val="nil"/>
              <w:right w:val="nil"/>
            </w:tcBorders>
            <w:shd w:val="clear" w:color="auto" w:fill="FFFFFF"/>
            <w:noWrap/>
            <w:vAlign w:val="bottom"/>
          </w:tcPr>
          <w:p w14:paraId="56219F65"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Proposed Max</w:t>
            </w:r>
          </w:p>
        </w:tc>
        <w:tc>
          <w:tcPr>
            <w:tcW w:w="1260" w:type="dxa"/>
            <w:tcBorders>
              <w:top w:val="single" w:sz="4" w:space="0" w:color="auto"/>
              <w:left w:val="nil"/>
              <w:bottom w:val="single" w:sz="4" w:space="0" w:color="auto"/>
              <w:right w:val="nil"/>
            </w:tcBorders>
            <w:shd w:val="clear" w:color="auto" w:fill="FFFFFF"/>
            <w:noWrap/>
            <w:vAlign w:val="bottom"/>
          </w:tcPr>
          <w:p w14:paraId="62ECBFC1"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350" w:type="dxa"/>
            <w:tcBorders>
              <w:top w:val="single" w:sz="4" w:space="0" w:color="auto"/>
              <w:left w:val="nil"/>
              <w:bottom w:val="single" w:sz="4" w:space="0" w:color="auto"/>
            </w:tcBorders>
            <w:shd w:val="clear" w:color="auto" w:fill="FFFFFF"/>
            <w:noWrap/>
            <w:vAlign w:val="bottom"/>
          </w:tcPr>
          <w:p w14:paraId="2F8535B1"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w:t>
            </w:r>
          </w:p>
        </w:tc>
        <w:tc>
          <w:tcPr>
            <w:tcW w:w="1440" w:type="dxa"/>
            <w:tcBorders>
              <w:right w:val="single" w:sz="4" w:space="0" w:color="auto"/>
            </w:tcBorders>
            <w:shd w:val="clear" w:color="auto" w:fill="FFFFFF"/>
            <w:noWrap/>
            <w:vAlign w:val="center"/>
          </w:tcPr>
          <w:p w14:paraId="24699454"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76098102"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2D8EEAD6"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5ED3EEA1"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FFFFFF"/>
            <w:noWrap/>
            <w:vAlign w:val="bottom"/>
          </w:tcPr>
          <w:p w14:paraId="0376887F" w14:textId="77777777" w:rsidR="009C0829" w:rsidRPr="009C0829" w:rsidRDefault="009C0829" w:rsidP="009C0829">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nil"/>
            </w:tcBorders>
            <w:shd w:val="clear" w:color="auto" w:fill="FFFFFF"/>
            <w:noWrap/>
            <w:vAlign w:val="bottom"/>
          </w:tcPr>
          <w:p w14:paraId="755F1E71" w14:textId="77777777" w:rsidR="009C0829" w:rsidRPr="009C0829" w:rsidRDefault="009C0829" w:rsidP="009C0829">
            <w:pPr>
              <w:spacing w:after="0" w:line="240" w:lineRule="auto"/>
              <w:jc w:val="center"/>
              <w:rPr>
                <w:rFonts w:ascii="Calibri" w:eastAsia="Times New Roman" w:hAnsi="Calibri" w:cs="Calibri"/>
                <w:b/>
                <w:color w:val="000000"/>
              </w:rPr>
            </w:pPr>
            <w:r w:rsidRPr="009C0829">
              <w:rPr>
                <w:rFonts w:ascii="Calibri" w:eastAsia="Times New Roman" w:hAnsi="Calibri" w:cs="Calibri"/>
                <w:b/>
                <w:color w:val="000000"/>
              </w:rPr>
              <w:t>2.46%</w:t>
            </w:r>
          </w:p>
        </w:tc>
        <w:tc>
          <w:tcPr>
            <w:tcW w:w="1530" w:type="dxa"/>
            <w:tcBorders>
              <w:top w:val="nil"/>
              <w:left w:val="nil"/>
              <w:bottom w:val="single" w:sz="4" w:space="0" w:color="auto"/>
              <w:right w:val="nil"/>
            </w:tcBorders>
            <w:shd w:val="clear" w:color="auto" w:fill="FFFFFF"/>
            <w:noWrap/>
            <w:vAlign w:val="bottom"/>
          </w:tcPr>
          <w:p w14:paraId="5D1FB8A1" w14:textId="77777777" w:rsidR="009C0829" w:rsidRPr="009C0829" w:rsidRDefault="009C0829" w:rsidP="009C0829">
            <w:pPr>
              <w:spacing w:after="0" w:line="240" w:lineRule="auto"/>
              <w:jc w:val="center"/>
              <w:rPr>
                <w:rFonts w:ascii="Calibri" w:eastAsia="Times New Roman" w:hAnsi="Calibri" w:cs="Calibri"/>
                <w:b/>
                <w:color w:val="000000"/>
              </w:rPr>
            </w:pPr>
            <w:r w:rsidRPr="009C0829">
              <w:rPr>
                <w:rFonts w:ascii="Calibri" w:eastAsia="Times New Roman" w:hAnsi="Calibri" w:cs="Calibri"/>
                <w:b/>
                <w:color w:val="000000"/>
              </w:rPr>
              <w:t>4.79%</w:t>
            </w:r>
          </w:p>
        </w:tc>
        <w:tc>
          <w:tcPr>
            <w:tcW w:w="1260" w:type="dxa"/>
            <w:tcBorders>
              <w:top w:val="single" w:sz="4" w:space="0" w:color="auto"/>
              <w:left w:val="nil"/>
              <w:bottom w:val="single" w:sz="4" w:space="0" w:color="auto"/>
              <w:right w:val="nil"/>
            </w:tcBorders>
            <w:shd w:val="clear" w:color="auto" w:fill="FFFFFF"/>
            <w:noWrap/>
            <w:vAlign w:val="bottom"/>
          </w:tcPr>
          <w:p w14:paraId="24FAE1C4"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Min</w:t>
            </w:r>
          </w:p>
        </w:tc>
        <w:tc>
          <w:tcPr>
            <w:tcW w:w="1350" w:type="dxa"/>
            <w:tcBorders>
              <w:top w:val="single" w:sz="4" w:space="0" w:color="auto"/>
              <w:left w:val="nil"/>
              <w:bottom w:val="single" w:sz="4" w:space="0" w:color="auto"/>
            </w:tcBorders>
            <w:shd w:val="clear" w:color="auto" w:fill="FFFFFF"/>
            <w:noWrap/>
            <w:vAlign w:val="bottom"/>
          </w:tcPr>
          <w:p w14:paraId="47B3D78C" w14:textId="77777777" w:rsidR="009C0829" w:rsidRPr="009C0829" w:rsidRDefault="009C0829" w:rsidP="009C0829">
            <w:pPr>
              <w:spacing w:after="0" w:line="240" w:lineRule="auto"/>
              <w:jc w:val="center"/>
              <w:rPr>
                <w:rFonts w:ascii="Calibri" w:eastAsia="Times New Roman" w:hAnsi="Calibri" w:cs="Calibri"/>
                <w:color w:val="000000"/>
              </w:rPr>
            </w:pPr>
            <w:r w:rsidRPr="009C0829">
              <w:rPr>
                <w:rFonts w:ascii="Calibri" w:eastAsia="Times New Roman" w:hAnsi="Calibri" w:cs="Calibri"/>
                <w:color w:val="000000"/>
              </w:rPr>
              <w:t>Max</w:t>
            </w:r>
          </w:p>
        </w:tc>
        <w:tc>
          <w:tcPr>
            <w:tcW w:w="1440" w:type="dxa"/>
            <w:tcBorders>
              <w:right w:val="single" w:sz="4" w:space="0" w:color="auto"/>
            </w:tcBorders>
            <w:shd w:val="clear" w:color="auto" w:fill="FFFFFF"/>
            <w:noWrap/>
            <w:vAlign w:val="center"/>
          </w:tcPr>
          <w:p w14:paraId="5960EA4D" w14:textId="77777777" w:rsidR="009C0829" w:rsidRPr="009C0829" w:rsidRDefault="009C0829" w:rsidP="009C0829">
            <w:pPr>
              <w:spacing w:after="0" w:line="240" w:lineRule="auto"/>
              <w:jc w:val="center"/>
              <w:rPr>
                <w:rFonts w:ascii="Calibri" w:eastAsia="Times New Roman" w:hAnsi="Calibri" w:cs="Calibri"/>
                <w:color w:val="000000"/>
              </w:rPr>
            </w:pPr>
          </w:p>
        </w:tc>
      </w:tr>
      <w:tr w:rsidR="009C0829" w:rsidRPr="009C0829" w14:paraId="14D328BD"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65A71F49"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57683392"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Undergraduate Tuition @ 15 </w:t>
            </w:r>
            <w:proofErr w:type="spellStart"/>
            <w:r w:rsidRPr="009C0829">
              <w:rPr>
                <w:rFonts w:ascii="Calibri" w:eastAsia="Times New Roman" w:hAnsi="Calibri" w:cs="Calibri"/>
                <w:color w:val="000000"/>
              </w:rPr>
              <w:t>cr</w:t>
            </w:r>
            <w:proofErr w:type="spellEnd"/>
            <w:r w:rsidRPr="009C0829">
              <w:rPr>
                <w:rFonts w:ascii="Calibri" w:eastAsia="Times New Roman" w:hAnsi="Calibri" w:cs="Calibri"/>
                <w:color w:val="000000"/>
              </w:rPr>
              <w:t xml:space="preserve"> </w:t>
            </w:r>
            <w:proofErr w:type="spellStart"/>
            <w:r w:rsidRPr="009C0829">
              <w:rPr>
                <w:rFonts w:ascii="Calibri" w:eastAsia="Times New Roman" w:hAnsi="Calibri" w:cs="Calibri"/>
                <w:color w:val="000000"/>
              </w:rPr>
              <w:t>hr</w:t>
            </w:r>
            <w:proofErr w:type="spellEnd"/>
          </w:p>
        </w:tc>
        <w:tc>
          <w:tcPr>
            <w:tcW w:w="1530" w:type="dxa"/>
            <w:tcBorders>
              <w:top w:val="single" w:sz="4" w:space="0" w:color="auto"/>
              <w:left w:val="nil"/>
              <w:bottom w:val="nil"/>
              <w:right w:val="nil"/>
            </w:tcBorders>
            <w:shd w:val="clear" w:color="auto" w:fill="FFFFFF"/>
            <w:noWrap/>
            <w:vAlign w:val="bottom"/>
          </w:tcPr>
          <w:p w14:paraId="538F5223"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8,802 </w:t>
            </w:r>
          </w:p>
        </w:tc>
        <w:tc>
          <w:tcPr>
            <w:tcW w:w="1530" w:type="dxa"/>
            <w:tcBorders>
              <w:top w:val="single" w:sz="4" w:space="0" w:color="auto"/>
              <w:left w:val="nil"/>
              <w:bottom w:val="nil"/>
              <w:right w:val="nil"/>
            </w:tcBorders>
            <w:shd w:val="clear" w:color="auto" w:fill="FFFFFF"/>
            <w:noWrap/>
            <w:vAlign w:val="bottom"/>
          </w:tcPr>
          <w:p w14:paraId="3C4EEA5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9,006 </w:t>
            </w:r>
          </w:p>
        </w:tc>
        <w:tc>
          <w:tcPr>
            <w:tcW w:w="1530" w:type="dxa"/>
            <w:tcBorders>
              <w:top w:val="single" w:sz="4" w:space="0" w:color="auto"/>
              <w:left w:val="nil"/>
              <w:bottom w:val="nil"/>
              <w:right w:val="nil"/>
            </w:tcBorders>
            <w:shd w:val="clear" w:color="auto" w:fill="FFFFFF"/>
            <w:noWrap/>
            <w:vAlign w:val="bottom"/>
          </w:tcPr>
          <w:p w14:paraId="3A8125CF"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9,228 </w:t>
            </w:r>
          </w:p>
        </w:tc>
        <w:tc>
          <w:tcPr>
            <w:tcW w:w="1260" w:type="dxa"/>
            <w:tcBorders>
              <w:top w:val="single" w:sz="4" w:space="0" w:color="auto"/>
              <w:left w:val="nil"/>
              <w:bottom w:val="nil"/>
              <w:right w:val="nil"/>
            </w:tcBorders>
            <w:shd w:val="clear" w:color="auto" w:fill="FFFFFF"/>
            <w:noWrap/>
            <w:vAlign w:val="bottom"/>
          </w:tcPr>
          <w:p w14:paraId="07944900"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204 </w:t>
            </w:r>
          </w:p>
        </w:tc>
        <w:tc>
          <w:tcPr>
            <w:tcW w:w="1350" w:type="dxa"/>
            <w:tcBorders>
              <w:top w:val="single" w:sz="4" w:space="0" w:color="auto"/>
              <w:left w:val="nil"/>
              <w:bottom w:val="nil"/>
            </w:tcBorders>
            <w:shd w:val="clear" w:color="auto" w:fill="FFFFFF"/>
            <w:noWrap/>
            <w:vAlign w:val="bottom"/>
          </w:tcPr>
          <w:p w14:paraId="5EC12D76"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426 </w:t>
            </w:r>
          </w:p>
        </w:tc>
        <w:tc>
          <w:tcPr>
            <w:tcW w:w="1440" w:type="dxa"/>
            <w:tcBorders>
              <w:right w:val="single" w:sz="4" w:space="0" w:color="auto"/>
            </w:tcBorders>
            <w:shd w:val="clear" w:color="auto" w:fill="FFFFFF"/>
            <w:noWrap/>
            <w:vAlign w:val="bottom"/>
          </w:tcPr>
          <w:p w14:paraId="33F9E50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w:t>
            </w:r>
          </w:p>
        </w:tc>
      </w:tr>
      <w:tr w:rsidR="009C0829" w:rsidRPr="009C0829" w14:paraId="02ADD938"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03CE982E"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27B0D50F"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Mandatory Fees</w:t>
            </w:r>
          </w:p>
        </w:tc>
        <w:tc>
          <w:tcPr>
            <w:tcW w:w="1530" w:type="dxa"/>
            <w:tcBorders>
              <w:top w:val="nil"/>
              <w:left w:val="nil"/>
              <w:bottom w:val="single" w:sz="4" w:space="0" w:color="auto"/>
              <w:right w:val="nil"/>
            </w:tcBorders>
            <w:shd w:val="clear" w:color="auto" w:fill="FFFFFF"/>
            <w:noWrap/>
            <w:vAlign w:val="bottom"/>
          </w:tcPr>
          <w:p w14:paraId="45EA6AB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2,096 </w:t>
            </w:r>
          </w:p>
        </w:tc>
        <w:tc>
          <w:tcPr>
            <w:tcW w:w="1530" w:type="dxa"/>
            <w:tcBorders>
              <w:top w:val="nil"/>
              <w:left w:val="nil"/>
              <w:bottom w:val="single" w:sz="4" w:space="0" w:color="auto"/>
              <w:right w:val="nil"/>
            </w:tcBorders>
            <w:shd w:val="clear" w:color="auto" w:fill="FFFFFF"/>
            <w:noWrap/>
            <w:vAlign w:val="bottom"/>
          </w:tcPr>
          <w:p w14:paraId="4D0C557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2,160 </w:t>
            </w:r>
          </w:p>
        </w:tc>
        <w:tc>
          <w:tcPr>
            <w:tcW w:w="1530" w:type="dxa"/>
            <w:tcBorders>
              <w:top w:val="nil"/>
              <w:left w:val="nil"/>
              <w:bottom w:val="single" w:sz="4" w:space="0" w:color="auto"/>
              <w:right w:val="nil"/>
            </w:tcBorders>
            <w:shd w:val="clear" w:color="auto" w:fill="FFFFFF"/>
            <w:noWrap/>
            <w:vAlign w:val="bottom"/>
          </w:tcPr>
          <w:p w14:paraId="6D3729B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2,192 </w:t>
            </w:r>
          </w:p>
        </w:tc>
        <w:tc>
          <w:tcPr>
            <w:tcW w:w="1260" w:type="dxa"/>
            <w:tcBorders>
              <w:top w:val="nil"/>
              <w:left w:val="nil"/>
              <w:bottom w:val="single" w:sz="4" w:space="0" w:color="auto"/>
              <w:right w:val="nil"/>
            </w:tcBorders>
            <w:shd w:val="clear" w:color="auto" w:fill="FFFFFF"/>
            <w:noWrap/>
            <w:vAlign w:val="bottom"/>
          </w:tcPr>
          <w:p w14:paraId="784844DE"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64</w:t>
            </w:r>
          </w:p>
        </w:tc>
        <w:tc>
          <w:tcPr>
            <w:tcW w:w="1350" w:type="dxa"/>
            <w:tcBorders>
              <w:top w:val="nil"/>
              <w:left w:val="nil"/>
              <w:bottom w:val="single" w:sz="4" w:space="0" w:color="auto"/>
            </w:tcBorders>
            <w:shd w:val="clear" w:color="auto" w:fill="FFFFFF"/>
            <w:noWrap/>
            <w:vAlign w:val="bottom"/>
          </w:tcPr>
          <w:p w14:paraId="0786EE5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96 </w:t>
            </w:r>
          </w:p>
        </w:tc>
        <w:tc>
          <w:tcPr>
            <w:tcW w:w="1440" w:type="dxa"/>
            <w:tcBorders>
              <w:right w:val="single" w:sz="4" w:space="0" w:color="auto"/>
            </w:tcBorders>
            <w:shd w:val="clear" w:color="auto" w:fill="FFFFFF"/>
            <w:noWrap/>
            <w:vAlign w:val="center"/>
          </w:tcPr>
          <w:p w14:paraId="5E73270C"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17322EAE"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6272F55C"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6F3BB738"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single" w:sz="4" w:space="0" w:color="auto"/>
              <w:left w:val="nil"/>
              <w:right w:val="nil"/>
            </w:tcBorders>
            <w:shd w:val="clear" w:color="auto" w:fill="FFFFFF"/>
            <w:noWrap/>
            <w:vAlign w:val="bottom"/>
          </w:tcPr>
          <w:p w14:paraId="60F0C64B"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single" w:sz="4" w:space="0" w:color="auto"/>
              <w:left w:val="nil"/>
              <w:right w:val="nil"/>
            </w:tcBorders>
            <w:shd w:val="clear" w:color="auto" w:fill="FFFFFF"/>
            <w:noWrap/>
            <w:vAlign w:val="bottom"/>
          </w:tcPr>
          <w:p w14:paraId="0FF41B44"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single" w:sz="4" w:space="0" w:color="auto"/>
              <w:left w:val="nil"/>
              <w:right w:val="nil"/>
            </w:tcBorders>
            <w:shd w:val="clear" w:color="auto" w:fill="FFFFFF"/>
            <w:noWrap/>
            <w:vAlign w:val="bottom"/>
          </w:tcPr>
          <w:p w14:paraId="22C6C863" w14:textId="77777777" w:rsidR="009C0829" w:rsidRPr="009C0829" w:rsidRDefault="009C0829" w:rsidP="009C0829">
            <w:pPr>
              <w:spacing w:after="0" w:line="240" w:lineRule="auto"/>
              <w:jc w:val="right"/>
              <w:rPr>
                <w:rFonts w:ascii="Calibri" w:eastAsia="Times New Roman" w:hAnsi="Calibri" w:cs="Calibri"/>
                <w:color w:val="000000"/>
              </w:rPr>
            </w:pPr>
          </w:p>
        </w:tc>
        <w:tc>
          <w:tcPr>
            <w:tcW w:w="1260" w:type="dxa"/>
            <w:tcBorders>
              <w:top w:val="single" w:sz="4" w:space="0" w:color="auto"/>
              <w:left w:val="nil"/>
              <w:right w:val="nil"/>
            </w:tcBorders>
            <w:shd w:val="clear" w:color="auto" w:fill="FFFFFF"/>
            <w:noWrap/>
            <w:vAlign w:val="bottom"/>
          </w:tcPr>
          <w:p w14:paraId="3F0238C9" w14:textId="77777777" w:rsidR="009C0829" w:rsidRPr="009C0829" w:rsidRDefault="009C0829" w:rsidP="009C0829">
            <w:pPr>
              <w:spacing w:after="0" w:line="240" w:lineRule="auto"/>
              <w:jc w:val="right"/>
              <w:rPr>
                <w:rFonts w:ascii="Calibri" w:eastAsia="Times New Roman" w:hAnsi="Calibri" w:cs="Calibri"/>
                <w:color w:val="000000"/>
              </w:rPr>
            </w:pPr>
          </w:p>
        </w:tc>
        <w:tc>
          <w:tcPr>
            <w:tcW w:w="1350" w:type="dxa"/>
            <w:tcBorders>
              <w:top w:val="single" w:sz="4" w:space="0" w:color="auto"/>
              <w:left w:val="nil"/>
            </w:tcBorders>
            <w:shd w:val="clear" w:color="auto" w:fill="FFFFFF"/>
            <w:noWrap/>
            <w:vAlign w:val="bottom"/>
          </w:tcPr>
          <w:p w14:paraId="5349410C" w14:textId="77777777" w:rsidR="009C0829" w:rsidRPr="009C0829" w:rsidRDefault="009C0829" w:rsidP="009C0829">
            <w:pPr>
              <w:spacing w:after="0" w:line="240" w:lineRule="auto"/>
              <w:jc w:val="right"/>
              <w:rPr>
                <w:rFonts w:ascii="Calibri" w:eastAsia="Times New Roman" w:hAnsi="Calibri" w:cs="Calibri"/>
                <w:color w:val="000000"/>
              </w:rPr>
            </w:pPr>
          </w:p>
        </w:tc>
        <w:tc>
          <w:tcPr>
            <w:tcW w:w="1440" w:type="dxa"/>
            <w:tcBorders>
              <w:right w:val="single" w:sz="4" w:space="0" w:color="auto"/>
            </w:tcBorders>
            <w:shd w:val="clear" w:color="auto" w:fill="FFFFFF"/>
            <w:noWrap/>
            <w:vAlign w:val="center"/>
          </w:tcPr>
          <w:p w14:paraId="3C5154E2"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48A0FFF1"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7B35951C"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51A65373"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xml:space="preserve">Total UG Tuition &amp; Mandatory Fees </w:t>
            </w:r>
          </w:p>
        </w:tc>
        <w:tc>
          <w:tcPr>
            <w:tcW w:w="1530" w:type="dxa"/>
            <w:tcBorders>
              <w:left w:val="nil"/>
              <w:bottom w:val="single" w:sz="4" w:space="0" w:color="auto"/>
              <w:right w:val="nil"/>
            </w:tcBorders>
            <w:shd w:val="clear" w:color="auto" w:fill="FFFFFF"/>
            <w:noWrap/>
            <w:vAlign w:val="bottom"/>
          </w:tcPr>
          <w:p w14:paraId="74DC3B6A"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10,898 </w:t>
            </w:r>
          </w:p>
        </w:tc>
        <w:tc>
          <w:tcPr>
            <w:tcW w:w="1530" w:type="dxa"/>
            <w:tcBorders>
              <w:left w:val="nil"/>
              <w:bottom w:val="single" w:sz="4" w:space="0" w:color="auto"/>
              <w:right w:val="nil"/>
            </w:tcBorders>
            <w:shd w:val="clear" w:color="auto" w:fill="FFFFFF"/>
            <w:noWrap/>
            <w:vAlign w:val="bottom"/>
          </w:tcPr>
          <w:p w14:paraId="3FE04D24"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11,166 </w:t>
            </w:r>
          </w:p>
        </w:tc>
        <w:tc>
          <w:tcPr>
            <w:tcW w:w="1530" w:type="dxa"/>
            <w:tcBorders>
              <w:left w:val="nil"/>
              <w:bottom w:val="single" w:sz="4" w:space="0" w:color="auto"/>
              <w:right w:val="nil"/>
            </w:tcBorders>
            <w:shd w:val="clear" w:color="auto" w:fill="FFFFFF"/>
            <w:noWrap/>
            <w:vAlign w:val="bottom"/>
          </w:tcPr>
          <w:p w14:paraId="1AFC2CD5"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11,420 </w:t>
            </w:r>
          </w:p>
        </w:tc>
        <w:tc>
          <w:tcPr>
            <w:tcW w:w="1260" w:type="dxa"/>
            <w:tcBorders>
              <w:left w:val="nil"/>
              <w:bottom w:val="single" w:sz="4" w:space="0" w:color="auto"/>
              <w:right w:val="nil"/>
            </w:tcBorders>
            <w:shd w:val="clear" w:color="auto" w:fill="FFFFFF"/>
            <w:noWrap/>
            <w:vAlign w:val="bottom"/>
          </w:tcPr>
          <w:p w14:paraId="5750972F"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268 </w:t>
            </w:r>
          </w:p>
        </w:tc>
        <w:tc>
          <w:tcPr>
            <w:tcW w:w="1350" w:type="dxa"/>
            <w:tcBorders>
              <w:left w:val="nil"/>
              <w:bottom w:val="single" w:sz="4" w:space="0" w:color="auto"/>
            </w:tcBorders>
            <w:shd w:val="clear" w:color="auto" w:fill="FFFFFF"/>
            <w:noWrap/>
            <w:vAlign w:val="bottom"/>
          </w:tcPr>
          <w:p w14:paraId="49C4BB91"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xml:space="preserve"> $        522 </w:t>
            </w:r>
          </w:p>
        </w:tc>
        <w:tc>
          <w:tcPr>
            <w:tcW w:w="1440" w:type="dxa"/>
            <w:tcBorders>
              <w:right w:val="single" w:sz="4" w:space="0" w:color="auto"/>
            </w:tcBorders>
            <w:shd w:val="clear" w:color="auto" w:fill="FFFFFF"/>
            <w:noWrap/>
            <w:vAlign w:val="center"/>
          </w:tcPr>
          <w:p w14:paraId="1B5C8D2F"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19AB61C6"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63879F68"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64FB5755"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single" w:sz="4" w:space="0" w:color="auto"/>
              <w:left w:val="nil"/>
              <w:bottom w:val="nil"/>
              <w:right w:val="nil"/>
            </w:tcBorders>
            <w:shd w:val="clear" w:color="auto" w:fill="FFFFFF"/>
            <w:noWrap/>
            <w:vAlign w:val="bottom"/>
          </w:tcPr>
          <w:p w14:paraId="19525011"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single" w:sz="4" w:space="0" w:color="auto"/>
              <w:left w:val="nil"/>
              <w:bottom w:val="nil"/>
              <w:right w:val="nil"/>
            </w:tcBorders>
            <w:shd w:val="clear" w:color="auto" w:fill="FFFFFF"/>
            <w:noWrap/>
            <w:vAlign w:val="bottom"/>
          </w:tcPr>
          <w:p w14:paraId="05D65D24"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single" w:sz="4" w:space="0" w:color="auto"/>
              <w:left w:val="nil"/>
              <w:bottom w:val="nil"/>
              <w:right w:val="nil"/>
            </w:tcBorders>
            <w:shd w:val="clear" w:color="auto" w:fill="FFFFFF"/>
            <w:noWrap/>
            <w:vAlign w:val="bottom"/>
          </w:tcPr>
          <w:p w14:paraId="0BBFF411" w14:textId="77777777" w:rsidR="009C0829" w:rsidRPr="009C0829" w:rsidRDefault="009C0829" w:rsidP="009C0829">
            <w:pPr>
              <w:spacing w:after="0" w:line="240" w:lineRule="auto"/>
              <w:jc w:val="right"/>
              <w:rPr>
                <w:rFonts w:ascii="Calibri" w:eastAsia="Times New Roman" w:hAnsi="Calibri" w:cs="Calibri"/>
                <w:color w:val="000000"/>
              </w:rPr>
            </w:pPr>
          </w:p>
        </w:tc>
        <w:tc>
          <w:tcPr>
            <w:tcW w:w="1260" w:type="dxa"/>
            <w:tcBorders>
              <w:top w:val="single" w:sz="4" w:space="0" w:color="auto"/>
              <w:left w:val="nil"/>
              <w:bottom w:val="nil"/>
              <w:right w:val="nil"/>
            </w:tcBorders>
            <w:shd w:val="clear" w:color="auto" w:fill="FFFFFF"/>
            <w:noWrap/>
            <w:vAlign w:val="bottom"/>
          </w:tcPr>
          <w:p w14:paraId="5E02D650" w14:textId="77777777" w:rsidR="009C0829" w:rsidRPr="009C0829" w:rsidRDefault="009C0829" w:rsidP="009C0829">
            <w:pPr>
              <w:spacing w:after="0" w:line="240" w:lineRule="auto"/>
              <w:jc w:val="right"/>
              <w:rPr>
                <w:rFonts w:ascii="Calibri" w:eastAsia="Times New Roman" w:hAnsi="Calibri" w:cs="Calibri"/>
                <w:color w:val="000000"/>
              </w:rPr>
            </w:pPr>
          </w:p>
        </w:tc>
        <w:tc>
          <w:tcPr>
            <w:tcW w:w="1350" w:type="dxa"/>
            <w:tcBorders>
              <w:top w:val="single" w:sz="4" w:space="0" w:color="auto"/>
              <w:left w:val="nil"/>
              <w:bottom w:val="nil"/>
            </w:tcBorders>
            <w:shd w:val="clear" w:color="auto" w:fill="FFFFFF"/>
            <w:noWrap/>
            <w:vAlign w:val="bottom"/>
          </w:tcPr>
          <w:p w14:paraId="2DE4A65C" w14:textId="77777777" w:rsidR="009C0829" w:rsidRPr="009C0829" w:rsidRDefault="009C0829" w:rsidP="009C0829">
            <w:pPr>
              <w:spacing w:after="0" w:line="240" w:lineRule="auto"/>
              <w:jc w:val="right"/>
              <w:rPr>
                <w:rFonts w:ascii="Calibri" w:eastAsia="Times New Roman" w:hAnsi="Calibri" w:cs="Calibri"/>
                <w:color w:val="000000"/>
              </w:rPr>
            </w:pPr>
          </w:p>
        </w:tc>
        <w:tc>
          <w:tcPr>
            <w:tcW w:w="1440" w:type="dxa"/>
            <w:tcBorders>
              <w:right w:val="single" w:sz="4" w:space="0" w:color="auto"/>
            </w:tcBorders>
            <w:shd w:val="clear" w:color="auto" w:fill="FFFFFF"/>
            <w:noWrap/>
            <w:vAlign w:val="center"/>
          </w:tcPr>
          <w:p w14:paraId="37CEF575"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5158D32E" w14:textId="77777777" w:rsidTr="009C0829">
        <w:trPr>
          <w:trHeight w:val="300"/>
          <w:jc w:val="center"/>
        </w:trPr>
        <w:tc>
          <w:tcPr>
            <w:tcW w:w="720" w:type="dxa"/>
            <w:tcBorders>
              <w:top w:val="nil"/>
              <w:left w:val="nil"/>
              <w:bottom w:val="nil"/>
              <w:right w:val="single" w:sz="4" w:space="0" w:color="auto"/>
            </w:tcBorders>
            <w:shd w:val="clear" w:color="auto" w:fill="FFFFFF"/>
            <w:noWrap/>
            <w:vAlign w:val="bottom"/>
          </w:tcPr>
          <w:p w14:paraId="5ED29B5B" w14:textId="77777777" w:rsidR="009C0829" w:rsidRPr="009C0829" w:rsidRDefault="009C0829" w:rsidP="009C0829">
            <w:pPr>
              <w:spacing w:after="0" w:line="240" w:lineRule="auto"/>
              <w:rPr>
                <w:rFonts w:ascii="Calibri" w:eastAsia="Times New Roman" w:hAnsi="Calibri" w:cs="Calibri"/>
                <w:color w:val="000000"/>
              </w:rPr>
            </w:pPr>
          </w:p>
        </w:tc>
        <w:tc>
          <w:tcPr>
            <w:tcW w:w="3690" w:type="dxa"/>
            <w:tcBorders>
              <w:top w:val="nil"/>
              <w:left w:val="single" w:sz="4" w:space="0" w:color="auto"/>
              <w:bottom w:val="nil"/>
              <w:right w:val="nil"/>
            </w:tcBorders>
            <w:shd w:val="clear" w:color="auto" w:fill="FFFFFF"/>
            <w:noWrap/>
            <w:vAlign w:val="bottom"/>
          </w:tcPr>
          <w:p w14:paraId="509ED543"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7868580F"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560726CB" w14:textId="77777777" w:rsidR="009C0829" w:rsidRPr="009C0829" w:rsidRDefault="009C0829" w:rsidP="009C0829">
            <w:pPr>
              <w:spacing w:after="0" w:line="240" w:lineRule="auto"/>
              <w:jc w:val="right"/>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6B681096" w14:textId="77777777" w:rsidR="009C0829" w:rsidRPr="009C0829" w:rsidRDefault="009C0829" w:rsidP="009C0829">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shd w:val="clear" w:color="auto" w:fill="FFFFFF"/>
            <w:noWrap/>
            <w:vAlign w:val="bottom"/>
          </w:tcPr>
          <w:p w14:paraId="12513857" w14:textId="77777777" w:rsidR="009C0829" w:rsidRPr="009C0829" w:rsidRDefault="009C0829" w:rsidP="009C0829">
            <w:pPr>
              <w:spacing w:after="0" w:line="240" w:lineRule="auto"/>
              <w:jc w:val="right"/>
              <w:rPr>
                <w:rFonts w:ascii="Calibri" w:eastAsia="Times New Roman" w:hAnsi="Calibri" w:cs="Calibri"/>
                <w:color w:val="000000"/>
              </w:rPr>
            </w:pPr>
          </w:p>
        </w:tc>
        <w:tc>
          <w:tcPr>
            <w:tcW w:w="1350" w:type="dxa"/>
            <w:tcBorders>
              <w:top w:val="nil"/>
              <w:left w:val="nil"/>
              <w:bottom w:val="nil"/>
            </w:tcBorders>
            <w:shd w:val="clear" w:color="auto" w:fill="FFFFFF"/>
            <w:noWrap/>
            <w:vAlign w:val="bottom"/>
          </w:tcPr>
          <w:p w14:paraId="50EB202B" w14:textId="77777777" w:rsidR="009C0829" w:rsidRPr="009C0829" w:rsidRDefault="009C0829" w:rsidP="009C0829">
            <w:pPr>
              <w:spacing w:after="0" w:line="240" w:lineRule="auto"/>
              <w:jc w:val="right"/>
              <w:rPr>
                <w:rFonts w:ascii="Calibri" w:eastAsia="Times New Roman" w:hAnsi="Calibri" w:cs="Calibri"/>
                <w:color w:val="000000"/>
              </w:rPr>
            </w:pPr>
          </w:p>
        </w:tc>
        <w:tc>
          <w:tcPr>
            <w:tcW w:w="1440" w:type="dxa"/>
            <w:tcBorders>
              <w:right w:val="single" w:sz="4" w:space="0" w:color="auto"/>
            </w:tcBorders>
            <w:shd w:val="clear" w:color="auto" w:fill="FFFFFF"/>
            <w:noWrap/>
            <w:vAlign w:val="center"/>
          </w:tcPr>
          <w:p w14:paraId="673E0529"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335348EA" w14:textId="77777777" w:rsidTr="009C0829">
        <w:trPr>
          <w:trHeight w:val="315"/>
          <w:jc w:val="center"/>
        </w:trPr>
        <w:tc>
          <w:tcPr>
            <w:tcW w:w="720" w:type="dxa"/>
            <w:tcBorders>
              <w:top w:val="nil"/>
              <w:left w:val="nil"/>
              <w:bottom w:val="nil"/>
              <w:right w:val="single" w:sz="4" w:space="0" w:color="auto"/>
            </w:tcBorders>
            <w:shd w:val="clear" w:color="auto" w:fill="FFFFFF"/>
            <w:noWrap/>
            <w:vAlign w:val="bottom"/>
            <w:hideMark/>
          </w:tcPr>
          <w:p w14:paraId="57AA6B05"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3690" w:type="dxa"/>
            <w:tcBorders>
              <w:top w:val="nil"/>
              <w:left w:val="single" w:sz="4" w:space="0" w:color="auto"/>
              <w:bottom w:val="single" w:sz="4" w:space="0" w:color="auto"/>
              <w:right w:val="nil"/>
            </w:tcBorders>
            <w:shd w:val="clear" w:color="auto" w:fill="FFFFFF"/>
            <w:noWrap/>
            <w:vAlign w:val="bottom"/>
            <w:hideMark/>
          </w:tcPr>
          <w:p w14:paraId="3FD87A74"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FFFFFF"/>
            <w:noWrap/>
            <w:vAlign w:val="bottom"/>
            <w:hideMark/>
          </w:tcPr>
          <w:p w14:paraId="6EDE9399"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FFFFFF"/>
            <w:noWrap/>
            <w:vAlign w:val="bottom"/>
            <w:hideMark/>
          </w:tcPr>
          <w:p w14:paraId="6BD13E27"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w:t>
            </w:r>
          </w:p>
        </w:tc>
        <w:tc>
          <w:tcPr>
            <w:tcW w:w="1530" w:type="dxa"/>
            <w:tcBorders>
              <w:top w:val="nil"/>
              <w:left w:val="nil"/>
              <w:bottom w:val="single" w:sz="4" w:space="0" w:color="auto"/>
              <w:right w:val="nil"/>
            </w:tcBorders>
            <w:shd w:val="clear" w:color="auto" w:fill="FFFFFF"/>
            <w:noWrap/>
            <w:vAlign w:val="bottom"/>
            <w:hideMark/>
          </w:tcPr>
          <w:p w14:paraId="554A5BD2"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w:t>
            </w:r>
          </w:p>
        </w:tc>
        <w:tc>
          <w:tcPr>
            <w:tcW w:w="1260" w:type="dxa"/>
            <w:tcBorders>
              <w:top w:val="nil"/>
              <w:left w:val="nil"/>
              <w:bottom w:val="single" w:sz="4" w:space="0" w:color="auto"/>
              <w:right w:val="nil"/>
            </w:tcBorders>
            <w:shd w:val="clear" w:color="auto" w:fill="FFFFFF"/>
            <w:noWrap/>
            <w:vAlign w:val="bottom"/>
            <w:hideMark/>
          </w:tcPr>
          <w:p w14:paraId="20B178A8"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w:t>
            </w:r>
          </w:p>
        </w:tc>
        <w:tc>
          <w:tcPr>
            <w:tcW w:w="1350" w:type="dxa"/>
            <w:tcBorders>
              <w:top w:val="nil"/>
              <w:left w:val="nil"/>
              <w:bottom w:val="single" w:sz="4" w:space="0" w:color="auto"/>
            </w:tcBorders>
            <w:shd w:val="clear" w:color="auto" w:fill="FFFFFF"/>
            <w:noWrap/>
            <w:vAlign w:val="bottom"/>
            <w:hideMark/>
          </w:tcPr>
          <w:p w14:paraId="536E980D" w14:textId="77777777" w:rsidR="009C0829" w:rsidRPr="009C0829" w:rsidRDefault="009C0829" w:rsidP="009C0829">
            <w:pPr>
              <w:spacing w:after="0" w:line="240" w:lineRule="auto"/>
              <w:jc w:val="right"/>
              <w:rPr>
                <w:rFonts w:ascii="Calibri" w:eastAsia="Times New Roman" w:hAnsi="Calibri" w:cs="Calibri"/>
                <w:color w:val="000000"/>
              </w:rPr>
            </w:pPr>
            <w:r w:rsidRPr="009C0829">
              <w:rPr>
                <w:rFonts w:ascii="Calibri" w:eastAsia="Times New Roman" w:hAnsi="Calibri" w:cs="Calibri"/>
                <w:color w:val="000000"/>
              </w:rPr>
              <w:t> </w:t>
            </w:r>
          </w:p>
        </w:tc>
        <w:tc>
          <w:tcPr>
            <w:tcW w:w="1440" w:type="dxa"/>
            <w:tcBorders>
              <w:top w:val="nil"/>
              <w:bottom w:val="single" w:sz="4" w:space="0" w:color="auto"/>
              <w:right w:val="single" w:sz="4" w:space="0" w:color="auto"/>
            </w:tcBorders>
            <w:shd w:val="clear" w:color="auto" w:fill="FFFFFF"/>
            <w:noWrap/>
            <w:vAlign w:val="center"/>
          </w:tcPr>
          <w:p w14:paraId="54CC0E74" w14:textId="77777777" w:rsidR="009C0829" w:rsidRPr="009C0829" w:rsidRDefault="009C0829" w:rsidP="009C0829">
            <w:pPr>
              <w:spacing w:after="0" w:line="240" w:lineRule="auto"/>
              <w:jc w:val="right"/>
              <w:rPr>
                <w:rFonts w:ascii="Calibri" w:eastAsia="Times New Roman" w:hAnsi="Calibri" w:cs="Calibri"/>
                <w:color w:val="000000"/>
              </w:rPr>
            </w:pPr>
          </w:p>
        </w:tc>
      </w:tr>
      <w:tr w:rsidR="009C0829" w:rsidRPr="009C0829" w14:paraId="63F77DBE" w14:textId="77777777" w:rsidTr="009C0829">
        <w:trPr>
          <w:trHeight w:val="300"/>
          <w:jc w:val="center"/>
        </w:trPr>
        <w:tc>
          <w:tcPr>
            <w:tcW w:w="4410" w:type="dxa"/>
            <w:gridSpan w:val="2"/>
            <w:tcBorders>
              <w:top w:val="nil"/>
              <w:left w:val="nil"/>
              <w:bottom w:val="nil"/>
              <w:right w:val="nil"/>
            </w:tcBorders>
            <w:shd w:val="clear" w:color="auto" w:fill="FFFFFF"/>
            <w:noWrap/>
            <w:vAlign w:val="bottom"/>
          </w:tcPr>
          <w:p w14:paraId="1D210B82" w14:textId="77777777" w:rsidR="009C0829" w:rsidRPr="009C0829" w:rsidRDefault="009C0829" w:rsidP="009C0829">
            <w:pPr>
              <w:spacing w:after="0" w:line="240" w:lineRule="auto"/>
              <w:rPr>
                <w:rFonts w:ascii="Calibri" w:eastAsia="Times New Roman" w:hAnsi="Calibri" w:cs="Calibri"/>
                <w:i/>
                <w:iCs/>
                <w:color w:val="000000"/>
              </w:rPr>
            </w:pPr>
          </w:p>
        </w:tc>
        <w:tc>
          <w:tcPr>
            <w:tcW w:w="1530" w:type="dxa"/>
            <w:tcBorders>
              <w:top w:val="nil"/>
              <w:left w:val="nil"/>
              <w:bottom w:val="nil"/>
              <w:right w:val="nil"/>
            </w:tcBorders>
            <w:shd w:val="clear" w:color="auto" w:fill="FFFFFF"/>
            <w:noWrap/>
            <w:vAlign w:val="bottom"/>
          </w:tcPr>
          <w:p w14:paraId="17C32D2E"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35A904F8" w14:textId="77777777" w:rsidR="009C0829" w:rsidRPr="009C0829" w:rsidRDefault="009C0829" w:rsidP="009C0829">
            <w:pPr>
              <w:spacing w:after="0" w:line="240" w:lineRule="auto"/>
              <w:rPr>
                <w:rFonts w:ascii="Calibri" w:eastAsia="Times New Roman" w:hAnsi="Calibri" w:cs="Calibri"/>
                <w:color w:val="000000"/>
              </w:rPr>
            </w:pPr>
          </w:p>
        </w:tc>
        <w:tc>
          <w:tcPr>
            <w:tcW w:w="1530" w:type="dxa"/>
            <w:tcBorders>
              <w:top w:val="nil"/>
              <w:left w:val="nil"/>
              <w:bottom w:val="nil"/>
              <w:right w:val="nil"/>
            </w:tcBorders>
            <w:shd w:val="clear" w:color="auto" w:fill="FFFFFF"/>
            <w:noWrap/>
            <w:vAlign w:val="bottom"/>
          </w:tcPr>
          <w:p w14:paraId="30306DF8" w14:textId="77777777" w:rsidR="009C0829" w:rsidRPr="009C0829" w:rsidRDefault="009C0829" w:rsidP="009C0829">
            <w:pPr>
              <w:spacing w:after="0" w:line="240" w:lineRule="auto"/>
              <w:rPr>
                <w:rFonts w:ascii="Calibri" w:eastAsia="Times New Roman" w:hAnsi="Calibri" w:cs="Calibri"/>
                <w:color w:val="000000"/>
              </w:rPr>
            </w:pPr>
          </w:p>
        </w:tc>
        <w:tc>
          <w:tcPr>
            <w:tcW w:w="1260" w:type="dxa"/>
            <w:tcBorders>
              <w:top w:val="nil"/>
              <w:left w:val="nil"/>
              <w:bottom w:val="nil"/>
              <w:right w:val="nil"/>
            </w:tcBorders>
            <w:shd w:val="clear" w:color="auto" w:fill="FFFFFF"/>
            <w:noWrap/>
            <w:vAlign w:val="bottom"/>
          </w:tcPr>
          <w:p w14:paraId="4CF78EB2" w14:textId="77777777" w:rsidR="009C0829" w:rsidRPr="009C0829" w:rsidRDefault="009C0829" w:rsidP="009C0829">
            <w:pPr>
              <w:spacing w:after="0" w:line="240" w:lineRule="auto"/>
              <w:rPr>
                <w:rFonts w:ascii="Calibri" w:eastAsia="Times New Roman" w:hAnsi="Calibri" w:cs="Calibri"/>
                <w:color w:val="000000"/>
              </w:rPr>
            </w:pPr>
          </w:p>
        </w:tc>
        <w:tc>
          <w:tcPr>
            <w:tcW w:w="1350" w:type="dxa"/>
            <w:tcBorders>
              <w:top w:val="nil"/>
              <w:left w:val="nil"/>
              <w:bottom w:val="nil"/>
            </w:tcBorders>
            <w:shd w:val="clear" w:color="auto" w:fill="FFFFFF"/>
            <w:noWrap/>
            <w:vAlign w:val="bottom"/>
          </w:tcPr>
          <w:p w14:paraId="502A2711" w14:textId="77777777" w:rsidR="009C0829" w:rsidRPr="009C0829" w:rsidRDefault="009C0829" w:rsidP="009C0829">
            <w:pPr>
              <w:spacing w:after="0" w:line="240" w:lineRule="auto"/>
              <w:jc w:val="center"/>
              <w:rPr>
                <w:rFonts w:ascii="Calibri" w:eastAsia="Times New Roman" w:hAnsi="Calibri" w:cs="Calibri"/>
                <w:color w:val="000000"/>
              </w:rPr>
            </w:pPr>
          </w:p>
        </w:tc>
        <w:tc>
          <w:tcPr>
            <w:tcW w:w="1440" w:type="dxa"/>
            <w:tcBorders>
              <w:top w:val="single" w:sz="4" w:space="0" w:color="auto"/>
              <w:bottom w:val="nil"/>
            </w:tcBorders>
            <w:shd w:val="clear" w:color="auto" w:fill="FFFFFF"/>
            <w:noWrap/>
            <w:vAlign w:val="center"/>
            <w:hideMark/>
          </w:tcPr>
          <w:p w14:paraId="7C29A04C" w14:textId="77777777" w:rsidR="009C0829" w:rsidRPr="009C0829" w:rsidRDefault="009C0829" w:rsidP="009C0829">
            <w:pPr>
              <w:spacing w:after="0" w:line="240" w:lineRule="auto"/>
              <w:rPr>
                <w:rFonts w:ascii="Calibri" w:eastAsia="Times New Roman" w:hAnsi="Calibri" w:cs="Calibri"/>
                <w:color w:val="000000"/>
              </w:rPr>
            </w:pPr>
            <w:r w:rsidRPr="009C0829">
              <w:rPr>
                <w:rFonts w:ascii="Calibri" w:eastAsia="Times New Roman" w:hAnsi="Calibri" w:cs="Calibri"/>
                <w:color w:val="000000"/>
              </w:rPr>
              <w:t> </w:t>
            </w:r>
          </w:p>
        </w:tc>
      </w:tr>
    </w:tbl>
    <w:p w14:paraId="289FBEDD" w14:textId="77777777" w:rsidR="009C0829" w:rsidRPr="009C0829" w:rsidRDefault="009C0829" w:rsidP="009C0829">
      <w:pPr>
        <w:spacing w:after="0" w:line="240" w:lineRule="auto"/>
        <w:rPr>
          <w:rFonts w:ascii="Times New Roman" w:eastAsia="Calibri" w:hAnsi="Times New Roman" w:cs="Times New Roman"/>
          <w:sz w:val="24"/>
          <w:szCs w:val="24"/>
        </w:rPr>
      </w:pPr>
    </w:p>
    <w:p w14:paraId="1369D9C9" w14:textId="77777777" w:rsidR="009C0829" w:rsidRPr="009C0829" w:rsidRDefault="009C0829" w:rsidP="009C0829">
      <w:pPr>
        <w:spacing w:after="0" w:line="240" w:lineRule="auto"/>
        <w:rPr>
          <w:rFonts w:ascii="Times New Roman" w:eastAsia="Calibri" w:hAnsi="Times New Roman" w:cs="Times New Roman"/>
          <w:sz w:val="24"/>
          <w:szCs w:val="24"/>
        </w:rPr>
        <w:sectPr w:rsidR="009C0829" w:rsidRPr="009C0829" w:rsidSect="009C0829">
          <w:pgSz w:w="15840" w:h="12240" w:orient="landscape"/>
          <w:pgMar w:top="1152" w:right="1440" w:bottom="1152" w:left="1440" w:header="720" w:footer="720" w:gutter="0"/>
          <w:cols w:space="720"/>
          <w:docGrid w:linePitch="360"/>
        </w:sectPr>
      </w:pPr>
      <w:r w:rsidRPr="009C0829">
        <w:rPr>
          <w:rFonts w:ascii="Times New Roman" w:eastAsia="Calibri" w:hAnsi="Times New Roman" w:cs="Times New Roman"/>
          <w:sz w:val="24"/>
          <w:szCs w:val="24"/>
        </w:rPr>
        <w:br w:type="page"/>
      </w:r>
    </w:p>
    <w:p w14:paraId="1C1F4DDF" w14:textId="77777777" w:rsidR="009C0829" w:rsidRPr="009C0829" w:rsidRDefault="009C0829" w:rsidP="009C0829">
      <w:pPr>
        <w:spacing w:after="0"/>
        <w:rPr>
          <w:rFonts w:ascii="Times New Roman" w:eastAsia="Calibri" w:hAnsi="Times New Roman" w:cs="Times New Roman"/>
          <w:b/>
          <w:bCs/>
          <w:sz w:val="24"/>
          <w:szCs w:val="24"/>
        </w:rPr>
      </w:pPr>
      <w:r w:rsidRPr="009C0829">
        <w:rPr>
          <w:rFonts w:ascii="Times New Roman" w:eastAsia="Calibri" w:hAnsi="Times New Roman" w:cs="Times New Roman"/>
          <w:b/>
          <w:bCs/>
          <w:sz w:val="24"/>
          <w:szCs w:val="24"/>
        </w:rPr>
        <w:lastRenderedPageBreak/>
        <w:t>Current State</w:t>
      </w:r>
    </w:p>
    <w:p w14:paraId="77FB147D" w14:textId="77777777" w:rsidR="009C0829" w:rsidRPr="009C0829" w:rsidRDefault="009C0829" w:rsidP="009C0829">
      <w:pPr>
        <w:spacing w:after="0"/>
        <w:rPr>
          <w:rFonts w:ascii="Times New Roman" w:eastAsia="Calibri" w:hAnsi="Times New Roman" w:cs="Times New Roman"/>
          <w:sz w:val="24"/>
          <w:szCs w:val="24"/>
        </w:rPr>
      </w:pPr>
    </w:p>
    <w:p w14:paraId="764DED41"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The development of the FY27 budget is occurring in an environment where the cost pressures specific to higher education continue to exceed those of the broader economy. While general inflation has moderated somewhat, the cost structure of universities remains elevated.</w:t>
      </w:r>
    </w:p>
    <w:p w14:paraId="2693BB8B" w14:textId="77777777" w:rsidR="009C0829" w:rsidRPr="009C0829" w:rsidRDefault="009C0829" w:rsidP="009C0829">
      <w:pPr>
        <w:spacing w:after="0" w:line="240" w:lineRule="auto"/>
        <w:jc w:val="both"/>
        <w:rPr>
          <w:rFonts w:ascii="Times New Roman" w:eastAsia="Calibri" w:hAnsi="Times New Roman" w:cs="Times New Roman"/>
          <w:sz w:val="24"/>
          <w:szCs w:val="24"/>
        </w:rPr>
      </w:pPr>
    </w:p>
    <w:p w14:paraId="0C8E90C0"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The Consumer Price Index (CPI), which measures general inflation in the economy, increased approximately 3.1% over the past year. In contrast, the Higher Education Price Index rose 3.4% and 3.6% in FY25. This continues a long-standing trend where higher education inflation exceeds general inflation due to the labor-intensive nature of universities and the costs associated with specialized facilities, utilities, and benefits. HEPI has exceeded CPI in 9 of the last 11 years.</w:t>
      </w:r>
    </w:p>
    <w:p w14:paraId="5453D3A4" w14:textId="77777777" w:rsidR="009C0829" w:rsidRPr="009C0829" w:rsidRDefault="009C0829" w:rsidP="009C0829">
      <w:pPr>
        <w:spacing w:after="0" w:line="240" w:lineRule="auto"/>
        <w:jc w:val="both"/>
        <w:rPr>
          <w:rFonts w:ascii="Times New Roman" w:eastAsia="Calibri" w:hAnsi="Times New Roman" w:cs="Times New Roman"/>
          <w:sz w:val="24"/>
          <w:szCs w:val="24"/>
        </w:rPr>
      </w:pPr>
    </w:p>
    <w:p w14:paraId="2EEB15C4"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Within this environment, the university continues to benefit from strong support from the State of Tennessee. While all indications are that ETSU will receive an increase in state appropriations, the actual amount will not be determined until later this spring. The proposed budget has appropriations for ETSU increasing by $1.3 million. While this investment is appreciated, the increase offsets only a portion of the cost pressures currently facing the institution.</w:t>
      </w:r>
    </w:p>
    <w:p w14:paraId="0BAEDC38" w14:textId="77777777" w:rsidR="009C0829" w:rsidRPr="009C0829" w:rsidRDefault="009C0829" w:rsidP="009C0829">
      <w:pPr>
        <w:spacing w:after="0" w:line="240" w:lineRule="auto"/>
        <w:jc w:val="both"/>
        <w:rPr>
          <w:rFonts w:ascii="Times New Roman" w:eastAsia="Calibri" w:hAnsi="Times New Roman" w:cs="Times New Roman"/>
          <w:sz w:val="24"/>
          <w:szCs w:val="24"/>
        </w:rPr>
      </w:pPr>
    </w:p>
    <w:p w14:paraId="4E4305EB"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For example, maintaining competitive compensation for faculty and staff remains critical to recruitment and retention. A 1.5% salary increase across the institution would equate to approximately $2.7 million, which alone exceeds the increase in state appropriations. As the Board is aware, a strategic goal for the university is to increase compensation to be closer to our peer institutions. It would require a larger salary pool to ensure progress towards this goal.</w:t>
      </w:r>
    </w:p>
    <w:p w14:paraId="7C46DD56" w14:textId="77777777" w:rsidR="009C0829" w:rsidRPr="009C0829" w:rsidRDefault="009C0829" w:rsidP="009C0829">
      <w:pPr>
        <w:spacing w:after="0" w:line="240" w:lineRule="auto"/>
        <w:jc w:val="both"/>
        <w:rPr>
          <w:rFonts w:ascii="Times New Roman" w:eastAsia="Calibri" w:hAnsi="Times New Roman" w:cs="Times New Roman"/>
          <w:sz w:val="24"/>
          <w:szCs w:val="24"/>
        </w:rPr>
      </w:pPr>
    </w:p>
    <w:p w14:paraId="45A62BB2"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In addition, projected insurance cost increases are estimated at approximately $2 million for the coming year. Furthermore, utilities continue to be another area of rising expense given the size and complexity of the university’s physical infrastructure. Based on recent trends and current market forecasts, the university is planning for utility cost increases in the range of approximately 4-6%.</w:t>
      </w:r>
    </w:p>
    <w:p w14:paraId="12E72475" w14:textId="77777777" w:rsidR="009C0829" w:rsidRPr="009C0829" w:rsidRDefault="009C0829" w:rsidP="009C0829">
      <w:pPr>
        <w:spacing w:after="0" w:line="240" w:lineRule="auto"/>
        <w:jc w:val="both"/>
        <w:rPr>
          <w:rFonts w:ascii="Times New Roman" w:eastAsia="Calibri" w:hAnsi="Times New Roman" w:cs="Times New Roman"/>
          <w:sz w:val="24"/>
          <w:szCs w:val="24"/>
        </w:rPr>
      </w:pPr>
    </w:p>
    <w:p w14:paraId="486E5958" w14:textId="77777777" w:rsidR="009C0829" w:rsidRPr="009C0829" w:rsidRDefault="009C0829" w:rsidP="009C0829">
      <w:pPr>
        <w:spacing w:after="0" w:line="240" w:lineRule="auto"/>
        <w:jc w:val="both"/>
        <w:rPr>
          <w:rFonts w:ascii="Times New Roman" w:eastAsia="Calibri" w:hAnsi="Times New Roman" w:cs="Times New Roman"/>
          <w:sz w:val="24"/>
          <w:szCs w:val="24"/>
        </w:rPr>
      </w:pPr>
      <w:r w:rsidRPr="009C0829">
        <w:rPr>
          <w:rFonts w:ascii="Times New Roman" w:eastAsia="Calibri" w:hAnsi="Times New Roman" w:cs="Times New Roman"/>
          <w:sz w:val="24"/>
          <w:szCs w:val="24"/>
        </w:rPr>
        <w:t>Finally, another strategic consideration in our financial planning is the competitiveness of our graduate stipends. Across the country, universities are increasing stipends to attract and retain high quality graduate students, particularly in research intensive disciplines. Graduate students play a critical role in advancing research activity and strengthening the academic enterprise. Ensuring our stipends remain competitive with peer institutions will be an important component of maintaining strong graduate programs and sustaining the university’s research trajectory.</w:t>
      </w:r>
    </w:p>
    <w:p w14:paraId="5BE5A4B2"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13EC28D1" w14:textId="77777777" w:rsidR="009C0829" w:rsidRPr="009C0829" w:rsidRDefault="009C0829" w:rsidP="009C0829">
      <w:pPr>
        <w:autoSpaceDE w:val="0"/>
        <w:autoSpaceDN w:val="0"/>
        <w:adjustRightInd w:val="0"/>
        <w:spacing w:after="0" w:line="240" w:lineRule="auto"/>
        <w:jc w:val="both"/>
        <w:rPr>
          <w:rFonts w:ascii="Times New Roman" w:eastAsia="Calibri" w:hAnsi="Times New Roman" w:cs="Times New Roman"/>
          <w:color w:val="FF0000"/>
          <w:sz w:val="24"/>
          <w:szCs w:val="24"/>
          <w:highlight w:val="yellow"/>
        </w:rPr>
      </w:pPr>
    </w:p>
    <w:p w14:paraId="0C74CA01" w14:textId="7776408E" w:rsidR="004D2296" w:rsidRDefault="004D2296" w:rsidP="004D2296">
      <w:pPr>
        <w:pStyle w:val="Default"/>
        <w:rPr>
          <w:rFonts w:eastAsia="Times New Roman"/>
          <w:color w:val="auto"/>
        </w:rPr>
      </w:pPr>
    </w:p>
    <w:sectPr w:rsidR="004D2296" w:rsidSect="004D229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361E" w14:textId="77777777" w:rsidR="004D2296" w:rsidRDefault="004D2296" w:rsidP="004D2296">
      <w:pPr>
        <w:spacing w:after="0" w:line="240" w:lineRule="auto"/>
      </w:pPr>
      <w:r>
        <w:separator/>
      </w:r>
    </w:p>
  </w:endnote>
  <w:endnote w:type="continuationSeparator" w:id="0">
    <w:p w14:paraId="38E03CF1" w14:textId="77777777" w:rsidR="004D2296" w:rsidRDefault="004D2296" w:rsidP="004D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45024"/>
      <w:docPartObj>
        <w:docPartGallery w:val="Page Numbers (Bottom of Page)"/>
        <w:docPartUnique/>
      </w:docPartObj>
    </w:sdtPr>
    <w:sdtEndPr>
      <w:rPr>
        <w:noProof/>
      </w:rPr>
    </w:sdtEndPr>
    <w:sdtContent>
      <w:p w14:paraId="6CDA6D04" w14:textId="7F46DA0D" w:rsidR="004D2296" w:rsidRDefault="004D22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1ABAE" w14:textId="77777777" w:rsidR="004D2296" w:rsidRDefault="004D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90FD" w14:textId="77777777" w:rsidR="004D2296" w:rsidRDefault="004D2296" w:rsidP="004D2296">
      <w:pPr>
        <w:spacing w:after="0" w:line="240" w:lineRule="auto"/>
      </w:pPr>
      <w:r>
        <w:separator/>
      </w:r>
    </w:p>
  </w:footnote>
  <w:footnote w:type="continuationSeparator" w:id="0">
    <w:p w14:paraId="370175C3" w14:textId="77777777" w:rsidR="004D2296" w:rsidRDefault="004D2296" w:rsidP="004D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1117"/>
    <w:multiLevelType w:val="hybridMultilevel"/>
    <w:tmpl w:val="A586B592"/>
    <w:lvl w:ilvl="0" w:tplc="14EC177A">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D0A932">
      <w:start w:val="1"/>
      <w:numFmt w:val="lowerLetter"/>
      <w:lvlText w:val="%2."/>
      <w:lvlJc w:val="left"/>
      <w:pPr>
        <w:ind w:left="2160"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78FE4980">
      <w:numFmt w:val="bullet"/>
      <w:lvlText w:val="•"/>
      <w:lvlJc w:val="left"/>
      <w:pPr>
        <w:ind w:left="3093" w:hanging="359"/>
      </w:pPr>
      <w:rPr>
        <w:rFonts w:hint="default"/>
        <w:lang w:val="en-US" w:eastAsia="en-US" w:bidi="ar-SA"/>
      </w:rPr>
    </w:lvl>
    <w:lvl w:ilvl="3" w:tplc="3CA2975E">
      <w:numFmt w:val="bullet"/>
      <w:lvlText w:val="•"/>
      <w:lvlJc w:val="left"/>
      <w:pPr>
        <w:ind w:left="4026" w:hanging="359"/>
      </w:pPr>
      <w:rPr>
        <w:rFonts w:hint="default"/>
        <w:lang w:val="en-US" w:eastAsia="en-US" w:bidi="ar-SA"/>
      </w:rPr>
    </w:lvl>
    <w:lvl w:ilvl="4" w:tplc="84E48060">
      <w:numFmt w:val="bullet"/>
      <w:lvlText w:val="•"/>
      <w:lvlJc w:val="left"/>
      <w:pPr>
        <w:ind w:left="4960" w:hanging="359"/>
      </w:pPr>
      <w:rPr>
        <w:rFonts w:hint="default"/>
        <w:lang w:val="en-US" w:eastAsia="en-US" w:bidi="ar-SA"/>
      </w:rPr>
    </w:lvl>
    <w:lvl w:ilvl="5" w:tplc="5A9EBBF2">
      <w:numFmt w:val="bullet"/>
      <w:lvlText w:val="•"/>
      <w:lvlJc w:val="left"/>
      <w:pPr>
        <w:ind w:left="5893" w:hanging="359"/>
      </w:pPr>
      <w:rPr>
        <w:rFonts w:hint="default"/>
        <w:lang w:val="en-US" w:eastAsia="en-US" w:bidi="ar-SA"/>
      </w:rPr>
    </w:lvl>
    <w:lvl w:ilvl="6" w:tplc="EA4C0B74">
      <w:numFmt w:val="bullet"/>
      <w:lvlText w:val="•"/>
      <w:lvlJc w:val="left"/>
      <w:pPr>
        <w:ind w:left="6826" w:hanging="359"/>
      </w:pPr>
      <w:rPr>
        <w:rFonts w:hint="default"/>
        <w:lang w:val="en-US" w:eastAsia="en-US" w:bidi="ar-SA"/>
      </w:rPr>
    </w:lvl>
    <w:lvl w:ilvl="7" w:tplc="D6CE3E26">
      <w:numFmt w:val="bullet"/>
      <w:lvlText w:val="•"/>
      <w:lvlJc w:val="left"/>
      <w:pPr>
        <w:ind w:left="7760" w:hanging="359"/>
      </w:pPr>
      <w:rPr>
        <w:rFonts w:hint="default"/>
        <w:lang w:val="en-US" w:eastAsia="en-US" w:bidi="ar-SA"/>
      </w:rPr>
    </w:lvl>
    <w:lvl w:ilvl="8" w:tplc="94809E78">
      <w:numFmt w:val="bullet"/>
      <w:lvlText w:val="•"/>
      <w:lvlJc w:val="left"/>
      <w:pPr>
        <w:ind w:left="8693" w:hanging="359"/>
      </w:pPr>
      <w:rPr>
        <w:rFonts w:hint="default"/>
        <w:lang w:val="en-US" w:eastAsia="en-US" w:bidi="ar-SA"/>
      </w:rPr>
    </w:lvl>
  </w:abstractNum>
  <w:abstractNum w:abstractNumId="1" w15:restartNumberingAfterBreak="0">
    <w:nsid w:val="15AF0847"/>
    <w:multiLevelType w:val="hybridMultilevel"/>
    <w:tmpl w:val="63204F40"/>
    <w:lvl w:ilvl="0" w:tplc="E2F2FD3E">
      <w:start w:val="1"/>
      <w:numFmt w:val="upperRoman"/>
      <w:lvlText w:val="%1."/>
      <w:lvlJc w:val="left"/>
      <w:pPr>
        <w:ind w:left="1440" w:hanging="493"/>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EADEE82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DACD9CE">
      <w:numFmt w:val="bullet"/>
      <w:lvlText w:val="•"/>
      <w:lvlJc w:val="left"/>
      <w:pPr>
        <w:ind w:left="3264" w:hanging="360"/>
      </w:pPr>
      <w:rPr>
        <w:rFonts w:hint="default"/>
        <w:lang w:val="en-US" w:eastAsia="en-US" w:bidi="ar-SA"/>
      </w:rPr>
    </w:lvl>
    <w:lvl w:ilvl="3" w:tplc="6562F7F8">
      <w:numFmt w:val="bullet"/>
      <w:lvlText w:val="•"/>
      <w:lvlJc w:val="left"/>
      <w:pPr>
        <w:ind w:left="4176" w:hanging="360"/>
      </w:pPr>
      <w:rPr>
        <w:rFonts w:hint="default"/>
        <w:lang w:val="en-US" w:eastAsia="en-US" w:bidi="ar-SA"/>
      </w:rPr>
    </w:lvl>
    <w:lvl w:ilvl="4" w:tplc="6F743DC4">
      <w:numFmt w:val="bullet"/>
      <w:lvlText w:val="•"/>
      <w:lvlJc w:val="left"/>
      <w:pPr>
        <w:ind w:left="5088" w:hanging="360"/>
      </w:pPr>
      <w:rPr>
        <w:rFonts w:hint="default"/>
        <w:lang w:val="en-US" w:eastAsia="en-US" w:bidi="ar-SA"/>
      </w:rPr>
    </w:lvl>
    <w:lvl w:ilvl="5" w:tplc="E662E882">
      <w:numFmt w:val="bullet"/>
      <w:lvlText w:val="•"/>
      <w:lvlJc w:val="left"/>
      <w:pPr>
        <w:ind w:left="6000" w:hanging="360"/>
      </w:pPr>
      <w:rPr>
        <w:rFonts w:hint="default"/>
        <w:lang w:val="en-US" w:eastAsia="en-US" w:bidi="ar-SA"/>
      </w:rPr>
    </w:lvl>
    <w:lvl w:ilvl="6" w:tplc="7FE64230">
      <w:numFmt w:val="bullet"/>
      <w:lvlText w:val="•"/>
      <w:lvlJc w:val="left"/>
      <w:pPr>
        <w:ind w:left="6912" w:hanging="360"/>
      </w:pPr>
      <w:rPr>
        <w:rFonts w:hint="default"/>
        <w:lang w:val="en-US" w:eastAsia="en-US" w:bidi="ar-SA"/>
      </w:rPr>
    </w:lvl>
    <w:lvl w:ilvl="7" w:tplc="8AF4239A">
      <w:numFmt w:val="bullet"/>
      <w:lvlText w:val="•"/>
      <w:lvlJc w:val="left"/>
      <w:pPr>
        <w:ind w:left="7824" w:hanging="360"/>
      </w:pPr>
      <w:rPr>
        <w:rFonts w:hint="default"/>
        <w:lang w:val="en-US" w:eastAsia="en-US" w:bidi="ar-SA"/>
      </w:rPr>
    </w:lvl>
    <w:lvl w:ilvl="8" w:tplc="33E08D6E">
      <w:numFmt w:val="bullet"/>
      <w:lvlText w:val="•"/>
      <w:lvlJc w:val="left"/>
      <w:pPr>
        <w:ind w:left="8736" w:hanging="360"/>
      </w:pPr>
      <w:rPr>
        <w:rFonts w:hint="default"/>
        <w:lang w:val="en-US" w:eastAsia="en-US" w:bidi="ar-SA"/>
      </w:rPr>
    </w:lvl>
  </w:abstractNum>
  <w:abstractNum w:abstractNumId="2" w15:restartNumberingAfterBreak="0">
    <w:nsid w:val="41227330"/>
    <w:multiLevelType w:val="hybridMultilevel"/>
    <w:tmpl w:val="82380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E76E3"/>
    <w:multiLevelType w:val="hybridMultilevel"/>
    <w:tmpl w:val="4C5CC098"/>
    <w:lvl w:ilvl="0" w:tplc="04090019">
      <w:start w:val="1"/>
      <w:numFmt w:val="lowerLetter"/>
      <w:lvlText w:val="%1."/>
      <w:lvlJc w:val="left"/>
      <w:pPr>
        <w:ind w:left="1440" w:hanging="360"/>
      </w:pPr>
      <w:rPr>
        <w:rFonts w:hint="default"/>
        <w:b w:val="0"/>
        <w:bCs w:val="0"/>
        <w:i w:val="0"/>
        <w:iCs w:val="0"/>
        <w:spacing w:val="0"/>
        <w:w w:val="100"/>
        <w:sz w:val="24"/>
        <w:szCs w:val="24"/>
        <w:lang w:val="en-US" w:eastAsia="en-US" w:bidi="ar-SA"/>
      </w:rPr>
    </w:lvl>
    <w:lvl w:ilvl="1" w:tplc="E7D0A932">
      <w:start w:val="1"/>
      <w:numFmt w:val="lowerLetter"/>
      <w:lvlText w:val="%2."/>
      <w:lvlJc w:val="left"/>
      <w:pPr>
        <w:ind w:left="2160"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78FE4980">
      <w:numFmt w:val="bullet"/>
      <w:lvlText w:val="•"/>
      <w:lvlJc w:val="left"/>
      <w:pPr>
        <w:ind w:left="3093" w:hanging="359"/>
      </w:pPr>
      <w:rPr>
        <w:rFonts w:hint="default"/>
        <w:lang w:val="en-US" w:eastAsia="en-US" w:bidi="ar-SA"/>
      </w:rPr>
    </w:lvl>
    <w:lvl w:ilvl="3" w:tplc="3CA2975E">
      <w:numFmt w:val="bullet"/>
      <w:lvlText w:val="•"/>
      <w:lvlJc w:val="left"/>
      <w:pPr>
        <w:ind w:left="4026" w:hanging="359"/>
      </w:pPr>
      <w:rPr>
        <w:rFonts w:hint="default"/>
        <w:lang w:val="en-US" w:eastAsia="en-US" w:bidi="ar-SA"/>
      </w:rPr>
    </w:lvl>
    <w:lvl w:ilvl="4" w:tplc="84E48060">
      <w:numFmt w:val="bullet"/>
      <w:lvlText w:val="•"/>
      <w:lvlJc w:val="left"/>
      <w:pPr>
        <w:ind w:left="4960" w:hanging="359"/>
      </w:pPr>
      <w:rPr>
        <w:rFonts w:hint="default"/>
        <w:lang w:val="en-US" w:eastAsia="en-US" w:bidi="ar-SA"/>
      </w:rPr>
    </w:lvl>
    <w:lvl w:ilvl="5" w:tplc="5A9EBBF2">
      <w:numFmt w:val="bullet"/>
      <w:lvlText w:val="•"/>
      <w:lvlJc w:val="left"/>
      <w:pPr>
        <w:ind w:left="5893" w:hanging="359"/>
      </w:pPr>
      <w:rPr>
        <w:rFonts w:hint="default"/>
        <w:lang w:val="en-US" w:eastAsia="en-US" w:bidi="ar-SA"/>
      </w:rPr>
    </w:lvl>
    <w:lvl w:ilvl="6" w:tplc="EA4C0B74">
      <w:numFmt w:val="bullet"/>
      <w:lvlText w:val="•"/>
      <w:lvlJc w:val="left"/>
      <w:pPr>
        <w:ind w:left="6826" w:hanging="359"/>
      </w:pPr>
      <w:rPr>
        <w:rFonts w:hint="default"/>
        <w:lang w:val="en-US" w:eastAsia="en-US" w:bidi="ar-SA"/>
      </w:rPr>
    </w:lvl>
    <w:lvl w:ilvl="7" w:tplc="D6CE3E26">
      <w:numFmt w:val="bullet"/>
      <w:lvlText w:val="•"/>
      <w:lvlJc w:val="left"/>
      <w:pPr>
        <w:ind w:left="7760" w:hanging="359"/>
      </w:pPr>
      <w:rPr>
        <w:rFonts w:hint="default"/>
        <w:lang w:val="en-US" w:eastAsia="en-US" w:bidi="ar-SA"/>
      </w:rPr>
    </w:lvl>
    <w:lvl w:ilvl="8" w:tplc="94809E78">
      <w:numFmt w:val="bullet"/>
      <w:lvlText w:val="•"/>
      <w:lvlJc w:val="left"/>
      <w:pPr>
        <w:ind w:left="8693" w:hanging="359"/>
      </w:pPr>
      <w:rPr>
        <w:rFonts w:hint="default"/>
        <w:lang w:val="en-US" w:eastAsia="en-US" w:bidi="ar-SA"/>
      </w:rPr>
    </w:lvl>
  </w:abstractNum>
  <w:abstractNum w:abstractNumId="4" w15:restartNumberingAfterBreak="0">
    <w:nsid w:val="4EFD0324"/>
    <w:multiLevelType w:val="hybridMultilevel"/>
    <w:tmpl w:val="7882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006926">
    <w:abstractNumId w:val="1"/>
  </w:num>
  <w:num w:numId="2" w16cid:durableId="845245244">
    <w:abstractNumId w:val="0"/>
  </w:num>
  <w:num w:numId="3" w16cid:durableId="1031078984">
    <w:abstractNumId w:val="3"/>
  </w:num>
  <w:num w:numId="4" w16cid:durableId="1732804467">
    <w:abstractNumId w:val="2"/>
  </w:num>
  <w:num w:numId="5" w16cid:durableId="58303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96"/>
    <w:rsid w:val="000E775A"/>
    <w:rsid w:val="0019337F"/>
    <w:rsid w:val="002F12BA"/>
    <w:rsid w:val="00472589"/>
    <w:rsid w:val="004D2296"/>
    <w:rsid w:val="004D7F90"/>
    <w:rsid w:val="00597EE4"/>
    <w:rsid w:val="005A3D5B"/>
    <w:rsid w:val="009C0829"/>
    <w:rsid w:val="00C57F27"/>
    <w:rsid w:val="00CB3FFC"/>
    <w:rsid w:val="00D346CC"/>
    <w:rsid w:val="00E157DB"/>
    <w:rsid w:val="00E2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F554"/>
  <w15:chartTrackingRefBased/>
  <w15:docId w15:val="{771AF5A0-F4BE-48A1-BF7F-AD8B2A9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2296"/>
    <w:pPr>
      <w:autoSpaceDE w:val="0"/>
      <w:autoSpaceDN w:val="0"/>
      <w:adjustRightInd w:val="0"/>
      <w:spacing w:after="0" w:line="240" w:lineRule="auto"/>
    </w:pPr>
    <w:rPr>
      <w:rFonts w:ascii="Calibri" w:hAnsi="Calibri" w:cs="Calibri"/>
      <w:color w:val="000000"/>
      <w:sz w:val="24"/>
      <w:szCs w:val="24"/>
    </w:rPr>
  </w:style>
  <w:style w:type="paragraph" w:customStyle="1" w:styleId="adbestyle0000">
    <w:name w:val="adbe_style_0000"/>
    <w:basedOn w:val="Default"/>
    <w:next w:val="Default"/>
    <w:uiPriority w:val="99"/>
    <w:rsid w:val="004D2296"/>
    <w:rPr>
      <w:color w:val="auto"/>
    </w:rPr>
  </w:style>
  <w:style w:type="paragraph" w:styleId="ListParagraph">
    <w:name w:val="List Paragraph"/>
    <w:basedOn w:val="Normal"/>
    <w:uiPriority w:val="34"/>
    <w:qFormat/>
    <w:rsid w:val="004D2296"/>
    <w:pPr>
      <w:ind w:left="720"/>
      <w:contextualSpacing/>
    </w:pPr>
  </w:style>
  <w:style w:type="paragraph" w:styleId="BodyText">
    <w:name w:val="Body Text"/>
    <w:basedOn w:val="Normal"/>
    <w:link w:val="BodyTextChar"/>
    <w:qFormat/>
    <w:rsid w:val="004D2296"/>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4D2296"/>
    <w:rPr>
      <w:rFonts w:ascii="Times New Roman" w:hAnsi="Times New Roman" w:cs="Times New Roman"/>
      <w:sz w:val="24"/>
      <w:szCs w:val="24"/>
    </w:rPr>
  </w:style>
  <w:style w:type="table" w:styleId="TableGrid">
    <w:name w:val="Table Grid"/>
    <w:basedOn w:val="TableNormal"/>
    <w:uiPriority w:val="39"/>
    <w:rsid w:val="004D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296"/>
  </w:style>
  <w:style w:type="paragraph" w:styleId="Footer">
    <w:name w:val="footer"/>
    <w:basedOn w:val="Normal"/>
    <w:link w:val="FooterChar"/>
    <w:uiPriority w:val="99"/>
    <w:unhideWhenUsed/>
    <w:rsid w:val="004D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Adam S</dc:creator>
  <cp:keywords/>
  <dc:description/>
  <cp:lastModifiedBy>Green, Adam S</cp:lastModifiedBy>
  <cp:revision>6</cp:revision>
  <dcterms:created xsi:type="dcterms:W3CDTF">2026-03-17T13:51:00Z</dcterms:created>
  <dcterms:modified xsi:type="dcterms:W3CDTF">2026-03-17T14:27:00Z</dcterms:modified>
</cp:coreProperties>
</file>