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5DE049" w14:textId="77777777" w:rsidR="00C9004C" w:rsidRDefault="00C9004C" w:rsidP="00C9004C">
      <w:pPr>
        <w:pStyle w:val="Heading1"/>
      </w:pPr>
    </w:p>
    <w:p w14:paraId="3311420A" w14:textId="035B65D2" w:rsidR="00C9004C" w:rsidRDefault="00C9004C" w:rsidP="00C9004C">
      <w:pPr>
        <w:pStyle w:val="Heading1"/>
      </w:pPr>
      <w:r>
        <w:t>Peer (Formative) Evaluation of Teaching: The 4 Teaching Essentials</w:t>
      </w:r>
    </w:p>
    <w:p w14:paraId="381F4396" w14:textId="007236CD" w:rsidR="00C9004C" w:rsidRDefault="00C9004C" w:rsidP="00C9004C"/>
    <w:p w14:paraId="38AD07A0" w14:textId="610A64F5" w:rsidR="00C9004C" w:rsidRDefault="00C9004C" w:rsidP="00C9004C"/>
    <w:p w14:paraId="66CFFC85" w14:textId="77777777" w:rsidR="00C9004C" w:rsidRDefault="00C9004C" w:rsidP="00C9004C"/>
    <w:tbl>
      <w:tblPr>
        <w:tblW w:w="0" w:type="auto"/>
        <w:tblCellMar>
          <w:left w:w="0" w:type="dxa"/>
          <w:right w:w="0" w:type="dxa"/>
        </w:tblCellMar>
        <w:tblLook w:val="04A0" w:firstRow="1" w:lastRow="0" w:firstColumn="1" w:lastColumn="0" w:noHBand="0" w:noVBand="1"/>
      </w:tblPr>
      <w:tblGrid>
        <w:gridCol w:w="3170"/>
        <w:gridCol w:w="3156"/>
        <w:gridCol w:w="3014"/>
      </w:tblGrid>
      <w:tr w:rsidR="00C9004C" w14:paraId="12EAC942" w14:textId="77777777" w:rsidTr="00C9004C">
        <w:trPr>
          <w:cantSplit/>
          <w:tblHeader/>
        </w:trPr>
        <w:tc>
          <w:tcPr>
            <w:tcW w:w="4348" w:type="dxa"/>
            <w:tcBorders>
              <w:top w:val="single" w:sz="8" w:space="0" w:color="auto"/>
              <w:left w:val="single" w:sz="8" w:space="0" w:color="auto"/>
              <w:bottom w:val="single" w:sz="8" w:space="0" w:color="auto"/>
              <w:right w:val="single" w:sz="8" w:space="0" w:color="auto"/>
            </w:tcBorders>
            <w:shd w:val="clear" w:color="auto" w:fill="FFD966"/>
            <w:tcMar>
              <w:top w:w="0" w:type="dxa"/>
              <w:left w:w="108" w:type="dxa"/>
              <w:bottom w:w="0" w:type="dxa"/>
              <w:right w:w="108" w:type="dxa"/>
            </w:tcMar>
            <w:hideMark/>
          </w:tcPr>
          <w:p w14:paraId="2270B60C" w14:textId="77777777" w:rsidR="00C9004C" w:rsidRDefault="00C9004C">
            <w:pPr>
              <w:jc w:val="center"/>
              <w:rPr>
                <w:b/>
                <w:bCs/>
                <w:sz w:val="28"/>
                <w:szCs w:val="28"/>
              </w:rPr>
            </w:pPr>
            <w:r>
              <w:rPr>
                <w:b/>
                <w:bCs/>
                <w:color w:val="000000"/>
                <w:sz w:val="24"/>
                <w:szCs w:val="24"/>
              </w:rPr>
              <w:t>Suggestions for Continuing Improvement</w:t>
            </w:r>
          </w:p>
        </w:tc>
        <w:tc>
          <w:tcPr>
            <w:tcW w:w="4348" w:type="dxa"/>
            <w:tcBorders>
              <w:top w:val="single" w:sz="8" w:space="0" w:color="auto"/>
              <w:left w:val="nil"/>
              <w:bottom w:val="single" w:sz="8" w:space="0" w:color="auto"/>
              <w:right w:val="single" w:sz="8" w:space="0" w:color="auto"/>
            </w:tcBorders>
            <w:shd w:val="clear" w:color="auto" w:fill="FFD966"/>
            <w:tcMar>
              <w:top w:w="0" w:type="dxa"/>
              <w:left w:w="108" w:type="dxa"/>
              <w:bottom w:w="0" w:type="dxa"/>
              <w:right w:w="108" w:type="dxa"/>
            </w:tcMar>
            <w:hideMark/>
          </w:tcPr>
          <w:p w14:paraId="5904BB0E" w14:textId="77777777" w:rsidR="00C9004C" w:rsidRDefault="00C9004C">
            <w:pPr>
              <w:jc w:val="center"/>
              <w:rPr>
                <w:b/>
                <w:bCs/>
                <w:sz w:val="28"/>
                <w:szCs w:val="28"/>
              </w:rPr>
            </w:pPr>
            <w:r>
              <w:rPr>
                <w:b/>
                <w:bCs/>
                <w:color w:val="000000"/>
                <w:sz w:val="28"/>
                <w:szCs w:val="28"/>
              </w:rPr>
              <w:t>Standard</w:t>
            </w:r>
          </w:p>
        </w:tc>
        <w:tc>
          <w:tcPr>
            <w:tcW w:w="4349" w:type="dxa"/>
            <w:tcBorders>
              <w:top w:val="single" w:sz="8" w:space="0" w:color="auto"/>
              <w:left w:val="nil"/>
              <w:bottom w:val="single" w:sz="8" w:space="0" w:color="auto"/>
              <w:right w:val="single" w:sz="8" w:space="0" w:color="auto"/>
            </w:tcBorders>
            <w:shd w:val="clear" w:color="auto" w:fill="FFD966"/>
            <w:tcMar>
              <w:top w:w="0" w:type="dxa"/>
              <w:left w:w="108" w:type="dxa"/>
              <w:bottom w:w="0" w:type="dxa"/>
              <w:right w:w="108" w:type="dxa"/>
            </w:tcMar>
            <w:hideMark/>
          </w:tcPr>
          <w:p w14:paraId="2588F9FB" w14:textId="77777777" w:rsidR="00C9004C" w:rsidRDefault="00C9004C">
            <w:pPr>
              <w:jc w:val="center"/>
              <w:rPr>
                <w:b/>
                <w:bCs/>
                <w:sz w:val="28"/>
                <w:szCs w:val="28"/>
              </w:rPr>
            </w:pPr>
            <w:r>
              <w:rPr>
                <w:b/>
                <w:bCs/>
                <w:color w:val="000000"/>
                <w:sz w:val="24"/>
                <w:szCs w:val="24"/>
              </w:rPr>
              <w:t xml:space="preserve">Evidence of Meeting or Exceeding Standard </w:t>
            </w:r>
          </w:p>
        </w:tc>
      </w:tr>
      <w:tr w:rsidR="00C9004C" w14:paraId="1EE799F9" w14:textId="77777777" w:rsidTr="00C9004C">
        <w:trPr>
          <w:cantSplit/>
        </w:trPr>
        <w:tc>
          <w:tcPr>
            <w:tcW w:w="4348"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5437AFDC" w14:textId="77777777" w:rsidR="00C9004C" w:rsidRDefault="00C9004C"/>
        </w:tc>
        <w:tc>
          <w:tcPr>
            <w:tcW w:w="4348" w:type="dxa"/>
            <w:tcBorders>
              <w:top w:val="nil"/>
              <w:left w:val="nil"/>
              <w:bottom w:val="single" w:sz="8" w:space="0" w:color="auto"/>
              <w:right w:val="single" w:sz="8" w:space="0" w:color="auto"/>
            </w:tcBorders>
            <w:shd w:val="clear" w:color="auto" w:fill="FFE599"/>
            <w:tcMar>
              <w:top w:w="0" w:type="dxa"/>
              <w:left w:w="108" w:type="dxa"/>
              <w:bottom w:w="0" w:type="dxa"/>
              <w:right w:w="108" w:type="dxa"/>
            </w:tcMar>
            <w:hideMark/>
          </w:tcPr>
          <w:p w14:paraId="77625E50" w14:textId="77777777" w:rsidR="00C9004C" w:rsidRDefault="00C9004C">
            <w:pPr>
              <w:jc w:val="center"/>
              <w:rPr>
                <w:b/>
                <w:bCs/>
              </w:rPr>
            </w:pPr>
            <w:r>
              <w:rPr>
                <w:b/>
                <w:bCs/>
                <w:color w:val="000000"/>
              </w:rPr>
              <w:t>Positive and warm relationship with students</w:t>
            </w:r>
          </w:p>
          <w:p w14:paraId="13C929A3" w14:textId="77777777" w:rsidR="00C9004C" w:rsidRDefault="00C9004C">
            <w:pPr>
              <w:jc w:val="center"/>
              <w:rPr>
                <w:sz w:val="18"/>
                <w:szCs w:val="18"/>
              </w:rPr>
            </w:pPr>
            <w:r>
              <w:rPr>
                <w:color w:val="000000"/>
                <w:sz w:val="18"/>
                <w:szCs w:val="18"/>
              </w:rPr>
              <w:t>Instructor talks socially with students before/after as well as during class, students appear comfortable with instructor, instructor moves around space and practices other immediacy behaviors, etc.</w:t>
            </w:r>
          </w:p>
        </w:tc>
        <w:tc>
          <w:tcPr>
            <w:tcW w:w="4349" w:type="dxa"/>
            <w:tcBorders>
              <w:top w:val="nil"/>
              <w:left w:val="nil"/>
              <w:bottom w:val="single" w:sz="8" w:space="0" w:color="auto"/>
              <w:right w:val="single" w:sz="8" w:space="0" w:color="auto"/>
            </w:tcBorders>
            <w:tcMar>
              <w:top w:w="0" w:type="dxa"/>
              <w:left w:w="108" w:type="dxa"/>
              <w:bottom w:w="0" w:type="dxa"/>
              <w:right w:w="108" w:type="dxa"/>
            </w:tcMar>
          </w:tcPr>
          <w:p w14:paraId="274F0E62" w14:textId="77777777" w:rsidR="00C9004C" w:rsidRDefault="00C9004C"/>
        </w:tc>
      </w:tr>
      <w:tr w:rsidR="00C9004C" w14:paraId="7D867872" w14:textId="77777777" w:rsidTr="00C9004C">
        <w:trPr>
          <w:cantSplit/>
        </w:trPr>
        <w:tc>
          <w:tcPr>
            <w:tcW w:w="4348"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360AAD2A" w14:textId="77777777" w:rsidR="00C9004C" w:rsidRDefault="00C9004C"/>
        </w:tc>
        <w:tc>
          <w:tcPr>
            <w:tcW w:w="4348" w:type="dxa"/>
            <w:tcBorders>
              <w:top w:val="nil"/>
              <w:left w:val="nil"/>
              <w:bottom w:val="single" w:sz="8" w:space="0" w:color="auto"/>
              <w:right w:val="single" w:sz="8" w:space="0" w:color="auto"/>
            </w:tcBorders>
            <w:shd w:val="clear" w:color="auto" w:fill="FFE599"/>
            <w:tcMar>
              <w:top w:w="0" w:type="dxa"/>
              <w:left w:w="108" w:type="dxa"/>
              <w:bottom w:w="0" w:type="dxa"/>
              <w:right w:w="108" w:type="dxa"/>
            </w:tcMar>
            <w:hideMark/>
          </w:tcPr>
          <w:p w14:paraId="52A1F794" w14:textId="77777777" w:rsidR="00C9004C" w:rsidRDefault="00C9004C">
            <w:pPr>
              <w:jc w:val="center"/>
              <w:rPr>
                <w:b/>
                <w:bCs/>
              </w:rPr>
            </w:pPr>
            <w:r>
              <w:rPr>
                <w:b/>
                <w:bCs/>
                <w:color w:val="000000"/>
              </w:rPr>
              <w:t>Inclusive teaching methods are evident</w:t>
            </w:r>
          </w:p>
          <w:p w14:paraId="2AA3C202" w14:textId="77777777" w:rsidR="00C9004C" w:rsidRDefault="00C9004C">
            <w:pPr>
              <w:jc w:val="center"/>
              <w:rPr>
                <w:sz w:val="18"/>
                <w:szCs w:val="18"/>
              </w:rPr>
            </w:pPr>
            <w:r>
              <w:rPr>
                <w:color w:val="000000"/>
                <w:sz w:val="18"/>
                <w:szCs w:val="18"/>
              </w:rPr>
              <w:t>Instructor pronounces student names correctly, uses diverse examples and materials, uses inclusive language including preferred pronouns, holds high expectations for all groups of students</w:t>
            </w:r>
          </w:p>
        </w:tc>
        <w:tc>
          <w:tcPr>
            <w:tcW w:w="4349" w:type="dxa"/>
            <w:tcBorders>
              <w:top w:val="nil"/>
              <w:left w:val="nil"/>
              <w:bottom w:val="single" w:sz="8" w:space="0" w:color="auto"/>
              <w:right w:val="single" w:sz="8" w:space="0" w:color="auto"/>
            </w:tcBorders>
            <w:tcMar>
              <w:top w:w="0" w:type="dxa"/>
              <w:left w:w="108" w:type="dxa"/>
              <w:bottom w:w="0" w:type="dxa"/>
              <w:right w:w="108" w:type="dxa"/>
            </w:tcMar>
          </w:tcPr>
          <w:p w14:paraId="67568703" w14:textId="77777777" w:rsidR="00C9004C" w:rsidRDefault="00C9004C"/>
        </w:tc>
      </w:tr>
      <w:tr w:rsidR="00C9004C" w14:paraId="2A6F91D0" w14:textId="77777777" w:rsidTr="00C9004C">
        <w:trPr>
          <w:cantSplit/>
        </w:trPr>
        <w:tc>
          <w:tcPr>
            <w:tcW w:w="4348"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2AC79F02" w14:textId="77777777" w:rsidR="00C9004C" w:rsidRDefault="00C9004C"/>
        </w:tc>
        <w:tc>
          <w:tcPr>
            <w:tcW w:w="4348" w:type="dxa"/>
            <w:tcBorders>
              <w:top w:val="nil"/>
              <w:left w:val="nil"/>
              <w:bottom w:val="single" w:sz="8" w:space="0" w:color="auto"/>
              <w:right w:val="single" w:sz="8" w:space="0" w:color="auto"/>
            </w:tcBorders>
            <w:shd w:val="clear" w:color="auto" w:fill="FFE599"/>
            <w:tcMar>
              <w:top w:w="0" w:type="dxa"/>
              <w:left w:w="108" w:type="dxa"/>
              <w:bottom w:w="0" w:type="dxa"/>
              <w:right w:w="108" w:type="dxa"/>
            </w:tcMar>
            <w:hideMark/>
          </w:tcPr>
          <w:p w14:paraId="472BD14A" w14:textId="77777777" w:rsidR="00C9004C" w:rsidRDefault="00C9004C">
            <w:pPr>
              <w:jc w:val="center"/>
              <w:rPr>
                <w:b/>
                <w:bCs/>
              </w:rPr>
            </w:pPr>
            <w:r>
              <w:rPr>
                <w:b/>
                <w:bCs/>
                <w:color w:val="000000"/>
              </w:rPr>
              <w:t>Instructor communicates with students</w:t>
            </w:r>
          </w:p>
          <w:p w14:paraId="7708DB3F" w14:textId="77777777" w:rsidR="00C9004C" w:rsidRDefault="00C9004C">
            <w:pPr>
              <w:jc w:val="center"/>
              <w:rPr>
                <w:sz w:val="18"/>
                <w:szCs w:val="18"/>
              </w:rPr>
            </w:pPr>
            <w:r>
              <w:rPr>
                <w:color w:val="000000"/>
                <w:sz w:val="18"/>
                <w:szCs w:val="18"/>
              </w:rPr>
              <w:t>Instructor provides updates to class in multiple modalities (orally, emails, posts, etc.), responds promptly to student questions and emails, is present and welcoming for office hours</w:t>
            </w:r>
          </w:p>
        </w:tc>
        <w:tc>
          <w:tcPr>
            <w:tcW w:w="4349" w:type="dxa"/>
            <w:tcBorders>
              <w:top w:val="nil"/>
              <w:left w:val="nil"/>
              <w:bottom w:val="single" w:sz="8" w:space="0" w:color="auto"/>
              <w:right w:val="single" w:sz="8" w:space="0" w:color="auto"/>
            </w:tcBorders>
            <w:tcMar>
              <w:top w:w="0" w:type="dxa"/>
              <w:left w:w="108" w:type="dxa"/>
              <w:bottom w:w="0" w:type="dxa"/>
              <w:right w:w="108" w:type="dxa"/>
            </w:tcMar>
          </w:tcPr>
          <w:p w14:paraId="29CFF826" w14:textId="77777777" w:rsidR="00C9004C" w:rsidRDefault="00C9004C"/>
        </w:tc>
      </w:tr>
      <w:tr w:rsidR="00C9004C" w14:paraId="72F76D19" w14:textId="77777777" w:rsidTr="00C9004C">
        <w:trPr>
          <w:cantSplit/>
        </w:trPr>
        <w:tc>
          <w:tcPr>
            <w:tcW w:w="4348"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1539A165" w14:textId="77777777" w:rsidR="00C9004C" w:rsidRDefault="00C9004C"/>
        </w:tc>
        <w:tc>
          <w:tcPr>
            <w:tcW w:w="4348" w:type="dxa"/>
            <w:tcBorders>
              <w:top w:val="nil"/>
              <w:left w:val="nil"/>
              <w:bottom w:val="single" w:sz="8" w:space="0" w:color="auto"/>
              <w:right w:val="single" w:sz="8" w:space="0" w:color="auto"/>
            </w:tcBorders>
            <w:shd w:val="clear" w:color="auto" w:fill="FFE599"/>
            <w:tcMar>
              <w:top w:w="0" w:type="dxa"/>
              <w:left w:w="108" w:type="dxa"/>
              <w:bottom w:w="0" w:type="dxa"/>
              <w:right w:w="108" w:type="dxa"/>
            </w:tcMar>
            <w:hideMark/>
          </w:tcPr>
          <w:p w14:paraId="5EF16872" w14:textId="77777777" w:rsidR="00C9004C" w:rsidRDefault="00C9004C">
            <w:pPr>
              <w:jc w:val="center"/>
              <w:rPr>
                <w:b/>
                <w:bCs/>
              </w:rPr>
            </w:pPr>
            <w:r>
              <w:rPr>
                <w:b/>
                <w:bCs/>
                <w:color w:val="000000"/>
              </w:rPr>
              <w:t>Students encouraged to interact with one another</w:t>
            </w:r>
          </w:p>
          <w:p w14:paraId="6E40C590" w14:textId="77777777" w:rsidR="00C9004C" w:rsidRDefault="00C9004C">
            <w:pPr>
              <w:jc w:val="center"/>
              <w:rPr>
                <w:sz w:val="18"/>
                <w:szCs w:val="18"/>
              </w:rPr>
            </w:pPr>
            <w:r>
              <w:rPr>
                <w:color w:val="000000"/>
                <w:sz w:val="18"/>
                <w:szCs w:val="18"/>
              </w:rPr>
              <w:t>Course includes ways students can interact in small activities (e.g., discussions, short worksheets) as well as bigger projects. Opportunities for community-building, such as study groups, are supported.</w:t>
            </w:r>
          </w:p>
        </w:tc>
        <w:tc>
          <w:tcPr>
            <w:tcW w:w="4349" w:type="dxa"/>
            <w:tcBorders>
              <w:top w:val="nil"/>
              <w:left w:val="nil"/>
              <w:bottom w:val="single" w:sz="8" w:space="0" w:color="auto"/>
              <w:right w:val="single" w:sz="8" w:space="0" w:color="auto"/>
            </w:tcBorders>
            <w:tcMar>
              <w:top w:w="0" w:type="dxa"/>
              <w:left w:w="108" w:type="dxa"/>
              <w:bottom w:w="0" w:type="dxa"/>
              <w:right w:w="108" w:type="dxa"/>
            </w:tcMar>
          </w:tcPr>
          <w:p w14:paraId="45E81195" w14:textId="77777777" w:rsidR="00C9004C" w:rsidRDefault="00C9004C"/>
        </w:tc>
      </w:tr>
      <w:tr w:rsidR="00C9004C" w14:paraId="30648BF5" w14:textId="77777777" w:rsidTr="00C9004C">
        <w:trPr>
          <w:cantSplit/>
        </w:trPr>
        <w:tc>
          <w:tcPr>
            <w:tcW w:w="4348"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19214E79" w14:textId="77777777" w:rsidR="00C9004C" w:rsidRDefault="00C9004C"/>
        </w:tc>
        <w:tc>
          <w:tcPr>
            <w:tcW w:w="4348" w:type="dxa"/>
            <w:tcBorders>
              <w:top w:val="nil"/>
              <w:left w:val="nil"/>
              <w:bottom w:val="single" w:sz="8" w:space="0" w:color="auto"/>
              <w:right w:val="single" w:sz="8" w:space="0" w:color="auto"/>
            </w:tcBorders>
            <w:shd w:val="clear" w:color="auto" w:fill="FFE599"/>
            <w:tcMar>
              <w:top w:w="0" w:type="dxa"/>
              <w:left w:w="108" w:type="dxa"/>
              <w:bottom w:w="0" w:type="dxa"/>
              <w:right w:w="108" w:type="dxa"/>
            </w:tcMar>
            <w:hideMark/>
          </w:tcPr>
          <w:p w14:paraId="2DCC2B22" w14:textId="77777777" w:rsidR="00C9004C" w:rsidRDefault="00C9004C">
            <w:pPr>
              <w:jc w:val="center"/>
              <w:rPr>
                <w:b/>
                <w:bCs/>
              </w:rPr>
            </w:pPr>
            <w:r>
              <w:rPr>
                <w:b/>
                <w:bCs/>
                <w:color w:val="000000"/>
              </w:rPr>
              <w:t>Failure-tolerance practices are included that increase student focus on learning over performance</w:t>
            </w:r>
          </w:p>
          <w:p w14:paraId="0C9F9384" w14:textId="77777777" w:rsidR="00C9004C" w:rsidRDefault="00C9004C">
            <w:pPr>
              <w:jc w:val="center"/>
              <w:rPr>
                <w:sz w:val="18"/>
                <w:szCs w:val="18"/>
              </w:rPr>
            </w:pPr>
            <w:r>
              <w:rPr>
                <w:color w:val="000000"/>
                <w:sz w:val="18"/>
                <w:szCs w:val="18"/>
              </w:rPr>
              <w:t>Opportunities to revise or repeat assessments or assignments are provided, grading practices are used that diminish the disproportionate weight of the F, policies for accepting at least some late submissions without penalty are in place. Final grade is based on multiple, lower-stakes assignments and assessments rather than a few high-stakes ones.</w:t>
            </w:r>
          </w:p>
        </w:tc>
        <w:tc>
          <w:tcPr>
            <w:tcW w:w="4349" w:type="dxa"/>
            <w:tcBorders>
              <w:top w:val="nil"/>
              <w:left w:val="nil"/>
              <w:bottom w:val="single" w:sz="8" w:space="0" w:color="auto"/>
              <w:right w:val="single" w:sz="8" w:space="0" w:color="auto"/>
            </w:tcBorders>
            <w:tcMar>
              <w:top w:w="0" w:type="dxa"/>
              <w:left w:w="108" w:type="dxa"/>
              <w:bottom w:w="0" w:type="dxa"/>
              <w:right w:w="108" w:type="dxa"/>
            </w:tcMar>
          </w:tcPr>
          <w:p w14:paraId="60EAF276" w14:textId="77777777" w:rsidR="00C9004C" w:rsidRDefault="00C9004C"/>
        </w:tc>
      </w:tr>
      <w:tr w:rsidR="00C9004C" w14:paraId="293B260B" w14:textId="77777777" w:rsidTr="00C9004C">
        <w:trPr>
          <w:cantSplit/>
        </w:trPr>
        <w:tc>
          <w:tcPr>
            <w:tcW w:w="4348"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1C5A0FD8" w14:textId="77777777" w:rsidR="00C9004C" w:rsidRDefault="00C9004C"/>
        </w:tc>
        <w:tc>
          <w:tcPr>
            <w:tcW w:w="4348" w:type="dxa"/>
            <w:tcBorders>
              <w:top w:val="nil"/>
              <w:left w:val="nil"/>
              <w:bottom w:val="single" w:sz="8" w:space="0" w:color="auto"/>
              <w:right w:val="single" w:sz="8" w:space="0" w:color="auto"/>
            </w:tcBorders>
            <w:shd w:val="clear" w:color="auto" w:fill="FFE599"/>
            <w:tcMar>
              <w:top w:w="0" w:type="dxa"/>
              <w:left w:w="108" w:type="dxa"/>
              <w:bottom w:w="0" w:type="dxa"/>
              <w:right w:w="108" w:type="dxa"/>
            </w:tcMar>
            <w:hideMark/>
          </w:tcPr>
          <w:p w14:paraId="461EA324" w14:textId="77777777" w:rsidR="00C9004C" w:rsidRDefault="00C9004C">
            <w:pPr>
              <w:jc w:val="center"/>
              <w:rPr>
                <w:b/>
                <w:bCs/>
              </w:rPr>
            </w:pPr>
            <w:r>
              <w:rPr>
                <w:b/>
                <w:bCs/>
                <w:color w:val="000000"/>
              </w:rPr>
              <w:t>Active learning methods are used during class time</w:t>
            </w:r>
          </w:p>
          <w:p w14:paraId="20657578" w14:textId="77777777" w:rsidR="00C9004C" w:rsidRDefault="00C9004C">
            <w:pPr>
              <w:jc w:val="center"/>
              <w:rPr>
                <w:sz w:val="18"/>
                <w:szCs w:val="18"/>
              </w:rPr>
            </w:pPr>
            <w:r>
              <w:rPr>
                <w:color w:val="000000"/>
                <w:sz w:val="18"/>
                <w:szCs w:val="18"/>
              </w:rPr>
              <w:t>Independently or together, students periodically (or often) are working to process information that is being learned. Methods can include reflection, questioning, relating to self, problem-solving, case studies, and more.</w:t>
            </w:r>
          </w:p>
        </w:tc>
        <w:tc>
          <w:tcPr>
            <w:tcW w:w="4349" w:type="dxa"/>
            <w:tcBorders>
              <w:top w:val="nil"/>
              <w:left w:val="nil"/>
              <w:bottom w:val="single" w:sz="8" w:space="0" w:color="auto"/>
              <w:right w:val="single" w:sz="8" w:space="0" w:color="auto"/>
            </w:tcBorders>
            <w:tcMar>
              <w:top w:w="0" w:type="dxa"/>
              <w:left w:w="108" w:type="dxa"/>
              <w:bottom w:w="0" w:type="dxa"/>
              <w:right w:w="108" w:type="dxa"/>
            </w:tcMar>
          </w:tcPr>
          <w:p w14:paraId="6F584AD1" w14:textId="77777777" w:rsidR="00C9004C" w:rsidRDefault="00C9004C"/>
        </w:tc>
      </w:tr>
      <w:tr w:rsidR="00C9004C" w14:paraId="2E6C0863" w14:textId="77777777" w:rsidTr="00C9004C">
        <w:trPr>
          <w:cantSplit/>
        </w:trPr>
        <w:tc>
          <w:tcPr>
            <w:tcW w:w="4348"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5D2F400C" w14:textId="77777777" w:rsidR="00C9004C" w:rsidRDefault="00C9004C"/>
        </w:tc>
        <w:tc>
          <w:tcPr>
            <w:tcW w:w="4348" w:type="dxa"/>
            <w:tcBorders>
              <w:top w:val="nil"/>
              <w:left w:val="nil"/>
              <w:bottom w:val="single" w:sz="8" w:space="0" w:color="auto"/>
              <w:right w:val="single" w:sz="8" w:space="0" w:color="auto"/>
            </w:tcBorders>
            <w:shd w:val="clear" w:color="auto" w:fill="FFE599"/>
            <w:tcMar>
              <w:top w:w="0" w:type="dxa"/>
              <w:left w:w="108" w:type="dxa"/>
              <w:bottom w:w="0" w:type="dxa"/>
              <w:right w:w="108" w:type="dxa"/>
            </w:tcMar>
            <w:hideMark/>
          </w:tcPr>
          <w:p w14:paraId="78B8F435" w14:textId="77777777" w:rsidR="00C9004C" w:rsidRDefault="00C9004C">
            <w:pPr>
              <w:jc w:val="center"/>
              <w:rPr>
                <w:b/>
                <w:bCs/>
              </w:rPr>
            </w:pPr>
            <w:r>
              <w:rPr>
                <w:b/>
                <w:bCs/>
                <w:color w:val="000000"/>
              </w:rPr>
              <w:t>Students are challenged but supported</w:t>
            </w:r>
          </w:p>
          <w:p w14:paraId="6A7D8C03" w14:textId="77777777" w:rsidR="00C9004C" w:rsidRDefault="00C9004C">
            <w:pPr>
              <w:jc w:val="center"/>
              <w:rPr>
                <w:sz w:val="18"/>
                <w:szCs w:val="18"/>
              </w:rPr>
            </w:pPr>
            <w:r>
              <w:rPr>
                <w:color w:val="000000"/>
                <w:sz w:val="18"/>
                <w:szCs w:val="18"/>
              </w:rPr>
              <w:t>The instructor communicates high expectations for all students; evidence of scaffolding, practice opportunities, and/or other support is in place to ensure students are able to meet those expectations.</w:t>
            </w:r>
          </w:p>
        </w:tc>
        <w:tc>
          <w:tcPr>
            <w:tcW w:w="4349" w:type="dxa"/>
            <w:tcBorders>
              <w:top w:val="nil"/>
              <w:left w:val="nil"/>
              <w:bottom w:val="single" w:sz="8" w:space="0" w:color="auto"/>
              <w:right w:val="single" w:sz="8" w:space="0" w:color="auto"/>
            </w:tcBorders>
            <w:tcMar>
              <w:top w:w="0" w:type="dxa"/>
              <w:left w:w="108" w:type="dxa"/>
              <w:bottom w:w="0" w:type="dxa"/>
              <w:right w:w="108" w:type="dxa"/>
            </w:tcMar>
          </w:tcPr>
          <w:p w14:paraId="6D714B8B" w14:textId="77777777" w:rsidR="00C9004C" w:rsidRDefault="00C9004C"/>
        </w:tc>
      </w:tr>
      <w:tr w:rsidR="00C9004C" w14:paraId="59F1FB0F" w14:textId="77777777" w:rsidTr="00C9004C">
        <w:trPr>
          <w:cantSplit/>
        </w:trPr>
        <w:tc>
          <w:tcPr>
            <w:tcW w:w="4348"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018A7F3B" w14:textId="77777777" w:rsidR="00C9004C" w:rsidRDefault="00C9004C"/>
        </w:tc>
        <w:tc>
          <w:tcPr>
            <w:tcW w:w="4348" w:type="dxa"/>
            <w:tcBorders>
              <w:top w:val="nil"/>
              <w:left w:val="nil"/>
              <w:bottom w:val="single" w:sz="8" w:space="0" w:color="auto"/>
              <w:right w:val="single" w:sz="8" w:space="0" w:color="auto"/>
            </w:tcBorders>
            <w:shd w:val="clear" w:color="auto" w:fill="FFE599"/>
            <w:tcMar>
              <w:top w:w="0" w:type="dxa"/>
              <w:left w:w="108" w:type="dxa"/>
              <w:bottom w:w="0" w:type="dxa"/>
              <w:right w:w="108" w:type="dxa"/>
            </w:tcMar>
            <w:hideMark/>
          </w:tcPr>
          <w:p w14:paraId="393FB5ED" w14:textId="77777777" w:rsidR="00C9004C" w:rsidRDefault="00C9004C">
            <w:pPr>
              <w:jc w:val="center"/>
              <w:rPr>
                <w:b/>
                <w:bCs/>
              </w:rPr>
            </w:pPr>
            <w:r>
              <w:rPr>
                <w:b/>
                <w:bCs/>
                <w:color w:val="000000"/>
              </w:rPr>
              <w:t>Actionable and timely feedback is provided</w:t>
            </w:r>
          </w:p>
          <w:p w14:paraId="5C33277A" w14:textId="77777777" w:rsidR="00C9004C" w:rsidRDefault="00C9004C">
            <w:pPr>
              <w:jc w:val="center"/>
              <w:rPr>
                <w:sz w:val="18"/>
                <w:szCs w:val="18"/>
              </w:rPr>
            </w:pPr>
            <w:r>
              <w:rPr>
                <w:color w:val="000000"/>
                <w:sz w:val="18"/>
                <w:szCs w:val="18"/>
              </w:rPr>
              <w:t xml:space="preserve">Students receive feedback beyond a score in a timely manner that notes both successes as well as any errors and/or ways to continue to improve the work (much like this rubric does). “Timely” parameters may vary, depending on the complexity of the assignment. </w:t>
            </w:r>
          </w:p>
        </w:tc>
        <w:tc>
          <w:tcPr>
            <w:tcW w:w="4349" w:type="dxa"/>
            <w:tcBorders>
              <w:top w:val="nil"/>
              <w:left w:val="nil"/>
              <w:bottom w:val="single" w:sz="8" w:space="0" w:color="auto"/>
              <w:right w:val="single" w:sz="8" w:space="0" w:color="auto"/>
            </w:tcBorders>
            <w:tcMar>
              <w:top w:w="0" w:type="dxa"/>
              <w:left w:w="108" w:type="dxa"/>
              <w:bottom w:w="0" w:type="dxa"/>
              <w:right w:w="108" w:type="dxa"/>
            </w:tcMar>
          </w:tcPr>
          <w:p w14:paraId="317E6B95" w14:textId="77777777" w:rsidR="00C9004C" w:rsidRDefault="00C9004C"/>
        </w:tc>
      </w:tr>
    </w:tbl>
    <w:p w14:paraId="41130D21" w14:textId="77777777" w:rsidR="00F43FF2" w:rsidRDefault="00F43FF2"/>
    <w:sectPr w:rsidR="00F43FF2" w:rsidSect="00C9004C">
      <w:headerReference w:type="first" r:id="rId6"/>
      <w:pgSz w:w="12240" w:h="15840"/>
      <w:pgMar w:top="99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09E3469" w14:textId="77777777" w:rsidR="00E92E6E" w:rsidRDefault="00E92E6E" w:rsidP="00C9004C">
      <w:r>
        <w:separator/>
      </w:r>
    </w:p>
  </w:endnote>
  <w:endnote w:type="continuationSeparator" w:id="0">
    <w:p w14:paraId="295B928E" w14:textId="77777777" w:rsidR="00E92E6E" w:rsidRDefault="00E92E6E" w:rsidP="00C9004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0A9BD7D" w14:textId="77777777" w:rsidR="00E92E6E" w:rsidRDefault="00E92E6E" w:rsidP="00C9004C">
      <w:r>
        <w:separator/>
      </w:r>
    </w:p>
  </w:footnote>
  <w:footnote w:type="continuationSeparator" w:id="0">
    <w:p w14:paraId="6FC95FFE" w14:textId="77777777" w:rsidR="00E92E6E" w:rsidRDefault="00E92E6E" w:rsidP="00C9004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CB2ED4" w14:textId="1869C574" w:rsidR="00C9004C" w:rsidRDefault="00C9004C" w:rsidP="00C9004C">
    <w:pPr>
      <w:pStyle w:val="Header"/>
      <w:jc w:val="center"/>
    </w:pPr>
    <w:r>
      <w:rPr>
        <w:noProof/>
      </w:rPr>
      <w:drawing>
        <wp:inline distT="0" distB="0" distL="0" distR="0" wp14:anchorId="2CC8A738" wp14:editId="3A09156E">
          <wp:extent cx="1876048" cy="1071311"/>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
                    <a:extLst>
                      <a:ext uri="{28A0092B-C50C-407E-A947-70E740481C1C}">
                        <a14:useLocalDpi xmlns:a14="http://schemas.microsoft.com/office/drawing/2010/main" val="0"/>
                      </a:ext>
                    </a:extLst>
                  </a:blip>
                  <a:stretch>
                    <a:fillRect/>
                  </a:stretch>
                </pic:blipFill>
                <pic:spPr>
                  <a:xfrm>
                    <a:off x="0" y="0"/>
                    <a:ext cx="1883446" cy="1075536"/>
                  </a:xfrm>
                  <a:prstGeom prst="rect">
                    <a:avLst/>
                  </a:prstGeom>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9004C"/>
    <w:rsid w:val="00101C15"/>
    <w:rsid w:val="0011206C"/>
    <w:rsid w:val="008B1FBA"/>
    <w:rsid w:val="009E25F1"/>
    <w:rsid w:val="00C9004C"/>
    <w:rsid w:val="00E92E6E"/>
    <w:rsid w:val="00F43FF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EEF1AB9"/>
  <w15:chartTrackingRefBased/>
  <w15:docId w15:val="{82AC6493-40BB-4509-9BAE-98FF2AD0E6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9004C"/>
    <w:pPr>
      <w:spacing w:after="0" w:line="240" w:lineRule="auto"/>
    </w:pPr>
    <w:rPr>
      <w:rFonts w:ascii="Calibri" w:hAnsi="Calibri" w:cs="Calibri"/>
    </w:rPr>
  </w:style>
  <w:style w:type="paragraph" w:styleId="Heading1">
    <w:name w:val="heading 1"/>
    <w:basedOn w:val="Normal"/>
    <w:next w:val="Normal"/>
    <w:link w:val="Heading1Char"/>
    <w:uiPriority w:val="9"/>
    <w:qFormat/>
    <w:rsid w:val="00C9004C"/>
    <w:pPr>
      <w:keepNext/>
      <w:keepLines/>
      <w:spacing w:before="24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9004C"/>
    <w:rPr>
      <w:rFonts w:asciiTheme="majorHAnsi" w:eastAsiaTheme="majorEastAsia" w:hAnsiTheme="majorHAnsi" w:cstheme="majorBidi"/>
      <w:color w:val="2F5496" w:themeColor="accent1" w:themeShade="BF"/>
      <w:sz w:val="32"/>
      <w:szCs w:val="32"/>
    </w:rPr>
  </w:style>
  <w:style w:type="paragraph" w:styleId="Header">
    <w:name w:val="header"/>
    <w:basedOn w:val="Normal"/>
    <w:link w:val="HeaderChar"/>
    <w:uiPriority w:val="99"/>
    <w:unhideWhenUsed/>
    <w:rsid w:val="00C9004C"/>
    <w:pPr>
      <w:tabs>
        <w:tab w:val="center" w:pos="4680"/>
        <w:tab w:val="right" w:pos="9360"/>
      </w:tabs>
    </w:pPr>
  </w:style>
  <w:style w:type="character" w:customStyle="1" w:styleId="HeaderChar">
    <w:name w:val="Header Char"/>
    <w:basedOn w:val="DefaultParagraphFont"/>
    <w:link w:val="Header"/>
    <w:uiPriority w:val="99"/>
    <w:rsid w:val="00C9004C"/>
    <w:rPr>
      <w:rFonts w:ascii="Calibri" w:hAnsi="Calibri" w:cs="Calibri"/>
    </w:rPr>
  </w:style>
  <w:style w:type="paragraph" w:styleId="Footer">
    <w:name w:val="footer"/>
    <w:basedOn w:val="Normal"/>
    <w:link w:val="FooterChar"/>
    <w:uiPriority w:val="99"/>
    <w:unhideWhenUsed/>
    <w:rsid w:val="00C9004C"/>
    <w:pPr>
      <w:tabs>
        <w:tab w:val="center" w:pos="4680"/>
        <w:tab w:val="right" w:pos="9360"/>
      </w:tabs>
    </w:pPr>
  </w:style>
  <w:style w:type="character" w:customStyle="1" w:styleId="FooterChar">
    <w:name w:val="Footer Char"/>
    <w:basedOn w:val="DefaultParagraphFont"/>
    <w:link w:val="Footer"/>
    <w:uiPriority w:val="99"/>
    <w:rsid w:val="00C9004C"/>
    <w:rPr>
      <w:rFonts w:ascii="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880276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357</Words>
  <Characters>2041</Characters>
  <Application>Microsoft Office Word</Application>
  <DocSecurity>0</DocSecurity>
  <Lines>17</Lines>
  <Paragraphs>4</Paragraphs>
  <ScaleCrop>false</ScaleCrop>
  <Company/>
  <LinksUpToDate>false</LinksUpToDate>
  <CharactersWithSpaces>2394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Barton, Alison Lang</dc:creator>
  <cp:keywords/>
  <dc:description/>
  <cp:lastModifiedBy>Barton, Alison Lang</cp:lastModifiedBy>
  <cp:revision>2</cp:revision>
  <dcterms:created xsi:type="dcterms:W3CDTF">2025-05-09T14:48:00Z</dcterms:created>
  <dcterms:modified xsi:type="dcterms:W3CDTF">2025-05-09T14:48:00Z</dcterms:modified>
</cp:coreProperties>
</file>