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431B8C03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923297">
        <w:rPr>
          <w:b/>
          <w:bCs/>
        </w:rPr>
        <w:t>DEPARTMENT CHAIR’S</w:t>
      </w:r>
      <w:r w:rsidR="00124E72">
        <w:rPr>
          <w:b/>
          <w:bCs/>
        </w:rPr>
        <w:t xml:space="preserve"> </w:t>
      </w:r>
      <w:r w:rsidR="00A965AD">
        <w:rPr>
          <w:b/>
          <w:bCs/>
        </w:rPr>
        <w:t>TENURE</w:t>
      </w:r>
      <w:r w:rsidR="009A504B" w:rsidRPr="009A504B">
        <w:rPr>
          <w:b/>
          <w:bCs/>
        </w:rPr>
        <w:t xml:space="preserve">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254CD947" w:rsidR="009A504B" w:rsidRPr="009A504B" w:rsidRDefault="00923297" w:rsidP="009A504B">
      <w:pPr>
        <w:pStyle w:val="NoSpacing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</w:rPr>
        <w:t>Department Chair’s</w:t>
      </w:r>
      <w:r w:rsidR="009A504B" w:rsidRPr="009A504B">
        <w:rPr>
          <w:rFonts w:ascii="Arial" w:hAnsi="Arial"/>
          <w:i/>
          <w:iCs/>
        </w:rPr>
        <w:t xml:space="preserve"> evaluation of candidate’s teaching, research/ scholarly/ creative activity, and service.</w:t>
      </w:r>
      <w:r w:rsidR="009A504B"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B7F7" w14:textId="77777777" w:rsidR="004C7E6A" w:rsidRDefault="004C7E6A">
      <w:r>
        <w:separator/>
      </w:r>
    </w:p>
  </w:endnote>
  <w:endnote w:type="continuationSeparator" w:id="0">
    <w:p w14:paraId="43802F4F" w14:textId="77777777" w:rsidR="004C7E6A" w:rsidRDefault="004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168A" w14:textId="77777777" w:rsidR="004C7E6A" w:rsidRDefault="004C7E6A">
      <w:r>
        <w:separator/>
      </w:r>
    </w:p>
  </w:footnote>
  <w:footnote w:type="continuationSeparator" w:id="0">
    <w:p w14:paraId="1C0DD6C1" w14:textId="77777777" w:rsidR="004C7E6A" w:rsidRDefault="004C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C7E6A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297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5AD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2</cp:revision>
  <cp:lastPrinted>2011-04-26T12:57:00Z</cp:lastPrinted>
  <dcterms:created xsi:type="dcterms:W3CDTF">2025-12-16T15:26:00Z</dcterms:created>
  <dcterms:modified xsi:type="dcterms:W3CDTF">2025-12-16T15:26:00Z</dcterms:modified>
</cp:coreProperties>
</file>