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1A" w:rsidRPr="0012511C" w:rsidRDefault="00E0481A" w:rsidP="00E0481A">
      <w:pPr>
        <w:jc w:val="center"/>
      </w:pPr>
      <w:bookmarkStart w:id="0" w:name="_GoBack"/>
      <w:bookmarkEnd w:id="0"/>
      <w:r w:rsidRPr="0012511C">
        <w:t>Curriculum Process System</w:t>
      </w:r>
    </w:p>
    <w:p w:rsidR="00E0481A" w:rsidRPr="0012511C" w:rsidRDefault="00BB3F54" w:rsidP="00E0481A">
      <w:pPr>
        <w:jc w:val="center"/>
      </w:pPr>
      <w:r>
        <w:t>Fields and Instructions</w:t>
      </w:r>
    </w:p>
    <w:p w:rsidR="00E0481A" w:rsidRPr="0012511C" w:rsidRDefault="00E0481A" w:rsidP="00E0481A">
      <w:pPr>
        <w:jc w:val="center"/>
      </w:pPr>
      <w:r w:rsidRPr="0012511C">
        <w:t>For</w:t>
      </w:r>
    </w:p>
    <w:p w:rsidR="00E0481A" w:rsidRPr="0012511C" w:rsidRDefault="00E0481A" w:rsidP="00E0481A">
      <w:pPr>
        <w:jc w:val="center"/>
      </w:pPr>
      <w:r w:rsidRPr="0012511C">
        <w:t xml:space="preserve">Syllabus </w:t>
      </w:r>
    </w:p>
    <w:p w:rsidR="00E0481A" w:rsidRPr="0012511C" w:rsidRDefault="00E0481A" w:rsidP="00E0481A">
      <w:pPr>
        <w:jc w:val="center"/>
      </w:pPr>
    </w:p>
    <w:p w:rsidR="00C32CC3" w:rsidRDefault="00E542BD" w:rsidP="0096618C">
      <w:r>
        <w:rPr>
          <w:i/>
        </w:rPr>
        <w:t>General Instructions</w:t>
      </w:r>
      <w:r>
        <w:t xml:space="preserve">:  </w:t>
      </w:r>
      <w:r w:rsidR="00C32CC3">
        <w:t xml:space="preserve">The syllabus is the most important part of a course proposal.  </w:t>
      </w:r>
    </w:p>
    <w:p w:rsidR="00C32CC3" w:rsidRDefault="00C32CC3" w:rsidP="0096618C">
      <w:r>
        <w:t xml:space="preserve">The </w:t>
      </w:r>
      <w:hyperlink r:id="rId8" w:anchor="award_credit" w:history="1">
        <w:r w:rsidRPr="00C32CC3">
          <w:rPr>
            <w:rStyle w:val="Hyperlink"/>
          </w:rPr>
          <w:t xml:space="preserve">ETSU Policy and Procedures for Awarding Credit </w:t>
        </w:r>
      </w:hyperlink>
      <w:r>
        <w:t xml:space="preserve">defines credit and the criteria for determining credit.  Review committees give careful attention to the contents of the syllabus and consider the information presented from a student’s point of view.  Therefore, clarity is a fundamental </w:t>
      </w:r>
      <w:r w:rsidR="00780EC7">
        <w:t>value</w:t>
      </w:r>
      <w:r w:rsidR="0052732D">
        <w:t xml:space="preserve">.  </w:t>
      </w:r>
    </w:p>
    <w:p w:rsidR="00C32CC3" w:rsidRDefault="00C32CC3" w:rsidP="0096618C"/>
    <w:p w:rsidR="0096618C" w:rsidRPr="0012511C" w:rsidRDefault="0096618C" w:rsidP="0096618C">
      <w:r w:rsidRPr="0012511C">
        <w:t>It is suggested that you prepare the text of t</w:t>
      </w:r>
      <w:r w:rsidR="00C32CC3">
        <w:t>he syllabus in a Word document and</w:t>
      </w:r>
      <w:r w:rsidRPr="0012511C">
        <w:t xml:space="preserve"> copy each </w:t>
      </w:r>
      <w:r w:rsidR="00790A3B">
        <w:t xml:space="preserve">content </w:t>
      </w:r>
      <w:r w:rsidRPr="0012511C">
        <w:t>section from the Word document and paste it into the appropriate pla</w:t>
      </w:r>
      <w:r w:rsidR="00790A3B">
        <w:t xml:space="preserve">ce in the form.  </w:t>
      </w:r>
      <w:r w:rsidR="00B541A8">
        <w:t>Font</w:t>
      </w:r>
      <w:r w:rsidR="00C41B8B">
        <w:t xml:space="preserve"> and format</w:t>
      </w:r>
      <w:r w:rsidR="00B541A8">
        <w:t xml:space="preserve"> may change, but it will not affect the review process.</w:t>
      </w:r>
    </w:p>
    <w:p w:rsidR="0096618C" w:rsidRPr="0012511C" w:rsidRDefault="0096618C" w:rsidP="0096618C"/>
    <w:p w:rsidR="00F76BBF" w:rsidRDefault="000C640C" w:rsidP="00C3507E">
      <w:r>
        <w:t xml:space="preserve">Several items </w:t>
      </w:r>
      <w:r w:rsidR="00790A3B">
        <w:t>on the input form</w:t>
      </w:r>
      <w:r w:rsidR="0096618C" w:rsidRPr="0012511C">
        <w:t xml:space="preserve"> are pre-populated from the first section of the proposal process.</w:t>
      </w:r>
      <w:r>
        <w:t xml:space="preserve">  These include</w:t>
      </w:r>
      <w:r w:rsidR="00F76BBF">
        <w:t xml:space="preserve"> College, Department, Course ID, Course Title, Minimum/Maximum Credit Hours, Prerequisites, </w:t>
      </w:r>
      <w:proofErr w:type="spellStart"/>
      <w:r w:rsidR="00F76BBF">
        <w:t>Corequisites</w:t>
      </w:r>
      <w:proofErr w:type="spellEnd"/>
      <w:r w:rsidR="00F76BBF">
        <w:t xml:space="preserve">, and Catalog Description.  Changes </w:t>
      </w:r>
      <w:r w:rsidR="00B541A8">
        <w:t xml:space="preserve">made </w:t>
      </w:r>
      <w:r w:rsidR="00F76BBF">
        <w:t xml:space="preserve">on the input </w:t>
      </w:r>
      <w:r w:rsidR="00C32CC3">
        <w:t>form</w:t>
      </w:r>
      <w:r w:rsidR="00B541A8">
        <w:t xml:space="preserve"> are</w:t>
      </w:r>
      <w:r w:rsidR="00C32CC3">
        <w:t xml:space="preserve"> automatically</w:t>
      </w:r>
      <w:r w:rsidR="00F76BBF">
        <w:t xml:space="preserve"> </w:t>
      </w:r>
      <w:r w:rsidR="00B541A8">
        <w:t xml:space="preserve">made on the </w:t>
      </w:r>
      <w:r w:rsidR="00F76BBF">
        <w:t>syllabus form.</w:t>
      </w:r>
      <w:r w:rsidR="00C3507E">
        <w:t xml:space="preserve"> </w:t>
      </w:r>
    </w:p>
    <w:p w:rsidR="0004345D" w:rsidRPr="00790A3B" w:rsidRDefault="00C3507E" w:rsidP="0004345D">
      <w:pPr>
        <w:pStyle w:val="NormalWeb"/>
        <w:rPr>
          <w:rFonts w:ascii="Verdana" w:hAnsi="Verdana"/>
          <w:sz w:val="20"/>
          <w:szCs w:val="20"/>
        </w:rPr>
      </w:pPr>
      <w:r>
        <w:rPr>
          <w:rFonts w:ascii="Verdana" w:hAnsi="Verdana"/>
          <w:sz w:val="20"/>
          <w:szCs w:val="20"/>
        </w:rPr>
        <w:t xml:space="preserve">After </w:t>
      </w:r>
      <w:r w:rsidR="0004345D" w:rsidRPr="00790A3B">
        <w:rPr>
          <w:rFonts w:ascii="Verdana" w:hAnsi="Verdana"/>
          <w:sz w:val="20"/>
          <w:szCs w:val="20"/>
        </w:rPr>
        <w:t xml:space="preserve">information is entered, you must select an option at the bottom of the form.  You may </w:t>
      </w:r>
      <w:r w:rsidR="0004345D" w:rsidRPr="00790A3B">
        <w:rPr>
          <w:rFonts w:ascii="Verdana" w:hAnsi="Verdana"/>
          <w:sz w:val="20"/>
          <w:szCs w:val="20"/>
          <w:u w:val="single"/>
        </w:rPr>
        <w:t>Save</w:t>
      </w:r>
      <w:r w:rsidR="0004345D" w:rsidRPr="00790A3B">
        <w:rPr>
          <w:rFonts w:ascii="Verdana" w:hAnsi="Verdana"/>
          <w:sz w:val="20"/>
          <w:szCs w:val="20"/>
        </w:rPr>
        <w:t xml:space="preserve"> the syllabus for later editing, or </w:t>
      </w:r>
      <w:proofErr w:type="gramStart"/>
      <w:r w:rsidR="0004345D" w:rsidRPr="00790A3B">
        <w:rPr>
          <w:rFonts w:ascii="Verdana" w:hAnsi="Verdana"/>
          <w:sz w:val="20"/>
          <w:szCs w:val="20"/>
          <w:u w:val="single"/>
        </w:rPr>
        <w:t>Submit</w:t>
      </w:r>
      <w:proofErr w:type="gramEnd"/>
      <w:r w:rsidR="0004345D" w:rsidRPr="00790A3B">
        <w:rPr>
          <w:rFonts w:ascii="Verdana" w:hAnsi="Verdana"/>
          <w:sz w:val="20"/>
          <w:szCs w:val="20"/>
        </w:rPr>
        <w:t xml:space="preserve"> the syllabus when you have completed it.  After Submitting the sylla</w:t>
      </w:r>
      <w:r>
        <w:rPr>
          <w:rFonts w:ascii="Verdana" w:hAnsi="Verdana"/>
          <w:sz w:val="20"/>
          <w:szCs w:val="20"/>
        </w:rPr>
        <w:t>bus, you may no longer edit it unless it is returned to you by a reviewer.</w:t>
      </w:r>
    </w:p>
    <w:p w:rsidR="0004345D" w:rsidRPr="0012511C" w:rsidRDefault="0004345D" w:rsidP="009661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E0481A" w:rsidRPr="0012511C" w:rsidTr="00C3507E">
        <w:trPr>
          <w:tblHeader/>
        </w:trPr>
        <w:tc>
          <w:tcPr>
            <w:tcW w:w="3708" w:type="dxa"/>
            <w:shd w:val="clear" w:color="auto" w:fill="C6D9F1" w:themeFill="text2" w:themeFillTint="33"/>
          </w:tcPr>
          <w:p w:rsidR="00E0481A" w:rsidRPr="0012511C" w:rsidRDefault="00BB3F54" w:rsidP="0037143E">
            <w:pPr>
              <w:jc w:val="center"/>
            </w:pPr>
            <w:r>
              <w:t xml:space="preserve">Form </w:t>
            </w:r>
            <w:r w:rsidR="00E0481A" w:rsidRPr="0012511C">
              <w:t>Item</w:t>
            </w:r>
          </w:p>
        </w:tc>
        <w:tc>
          <w:tcPr>
            <w:tcW w:w="5148" w:type="dxa"/>
            <w:shd w:val="clear" w:color="auto" w:fill="C6D9F1" w:themeFill="text2" w:themeFillTint="33"/>
          </w:tcPr>
          <w:p w:rsidR="00E0481A" w:rsidRPr="0012511C" w:rsidRDefault="00BB3F54" w:rsidP="0037143E">
            <w:pPr>
              <w:jc w:val="center"/>
            </w:pPr>
            <w:r>
              <w:t>Instructions</w:t>
            </w:r>
          </w:p>
        </w:tc>
      </w:tr>
      <w:tr w:rsidR="00E0481A" w:rsidRPr="0012511C" w:rsidTr="0037143E">
        <w:tc>
          <w:tcPr>
            <w:tcW w:w="3708" w:type="dxa"/>
          </w:tcPr>
          <w:p w:rsidR="00B23B64" w:rsidRPr="0037143E" w:rsidRDefault="00B23B64" w:rsidP="0096618C">
            <w:pPr>
              <w:rPr>
                <w:rFonts w:cs="Arial"/>
              </w:rPr>
            </w:pPr>
          </w:p>
          <w:p w:rsidR="0004345D" w:rsidRPr="0037143E" w:rsidRDefault="0096618C" w:rsidP="0096618C">
            <w:pPr>
              <w:rPr>
                <w:rFonts w:cs="Arial"/>
              </w:rPr>
            </w:pPr>
            <w:r w:rsidRPr="0037143E">
              <w:rPr>
                <w:rFonts w:cs="Arial"/>
              </w:rPr>
              <w:t>Purpose and Goals</w:t>
            </w:r>
          </w:p>
          <w:p w:rsidR="0004345D" w:rsidRPr="0037143E" w:rsidRDefault="0004345D" w:rsidP="0096618C">
            <w:pPr>
              <w:rPr>
                <w:rFonts w:cs="Arial"/>
              </w:rPr>
            </w:pPr>
          </w:p>
          <w:p w:rsidR="00E0481A" w:rsidRPr="0012511C" w:rsidRDefault="0096618C" w:rsidP="0004345D">
            <w:r w:rsidRPr="0037143E">
              <w:rPr>
                <w:rFonts w:cs="Arial"/>
                <w:vanish/>
              </w:rPr>
              <w:t>  Use bullets in a single-spaced list of course goals.</w:t>
            </w:r>
          </w:p>
        </w:tc>
        <w:tc>
          <w:tcPr>
            <w:tcW w:w="5148" w:type="dxa"/>
          </w:tcPr>
          <w:p w:rsidR="00BB3F54" w:rsidRDefault="00BB3F54" w:rsidP="0096618C"/>
          <w:p w:rsidR="0052732D" w:rsidRDefault="00BC68E9" w:rsidP="00FE4C10">
            <w:r>
              <w:t>The purpose is a s</w:t>
            </w:r>
            <w:r w:rsidR="0052732D">
              <w:t>tate</w:t>
            </w:r>
            <w:r>
              <w:t>ment about</w:t>
            </w:r>
            <w:r w:rsidR="0052732D">
              <w:t xml:space="preserve"> </w:t>
            </w:r>
            <w:r w:rsidR="00790A3B">
              <w:t>w</w:t>
            </w:r>
            <w:r w:rsidR="00E542BD">
              <w:t xml:space="preserve">hat the </w:t>
            </w:r>
            <w:r w:rsidR="00C41B8B">
              <w:t xml:space="preserve">course </w:t>
            </w:r>
            <w:r w:rsidR="00790A3B">
              <w:t xml:space="preserve">aims </w:t>
            </w:r>
            <w:r w:rsidR="00E542BD">
              <w:t xml:space="preserve">to </w:t>
            </w:r>
            <w:r w:rsidR="00C41B8B">
              <w:t xml:space="preserve">provide </w:t>
            </w:r>
            <w:r w:rsidR="00FE4C10">
              <w:t>students</w:t>
            </w:r>
            <w:r w:rsidR="00C41B8B">
              <w:t>.</w:t>
            </w:r>
            <w:r w:rsidR="0052732D">
              <w:t xml:space="preserve"> </w:t>
            </w:r>
            <w:r w:rsidR="00DC3A52">
              <w:t xml:space="preserve"> </w:t>
            </w:r>
          </w:p>
          <w:p w:rsidR="0052732D" w:rsidRDefault="0052732D" w:rsidP="00FE4C10"/>
          <w:p w:rsidR="00DC3A52" w:rsidRDefault="00BC68E9" w:rsidP="00FE4C10">
            <w:r>
              <w:t xml:space="preserve">The </w:t>
            </w:r>
            <w:r w:rsidR="00C41B8B">
              <w:t xml:space="preserve">goals </w:t>
            </w:r>
            <w:r>
              <w:t xml:space="preserve">expand on the purpose and give specific details of the learning experience.  </w:t>
            </w:r>
            <w:r w:rsidR="0052732D">
              <w:t xml:space="preserve"> “The program needs this course in the curriculum in order to</w:t>
            </w:r>
            <w:r>
              <w:t>:</w:t>
            </w:r>
          </w:p>
          <w:p w:rsidR="0052732D" w:rsidRDefault="009D5962" w:rsidP="0052732D">
            <w:pPr>
              <w:pStyle w:val="ListParagraph"/>
              <w:numPr>
                <w:ilvl w:val="0"/>
                <w:numId w:val="4"/>
              </w:numPr>
            </w:pPr>
            <w:r>
              <w:t>Familiarize students with . . .</w:t>
            </w:r>
          </w:p>
          <w:p w:rsidR="009D5962" w:rsidRDefault="009D5962" w:rsidP="0052732D">
            <w:pPr>
              <w:pStyle w:val="ListParagraph"/>
              <w:numPr>
                <w:ilvl w:val="0"/>
                <w:numId w:val="4"/>
              </w:numPr>
            </w:pPr>
            <w:r>
              <w:t>Promote investigation of . . .</w:t>
            </w:r>
          </w:p>
          <w:p w:rsidR="009D5962" w:rsidRDefault="009D5962" w:rsidP="0052732D">
            <w:pPr>
              <w:pStyle w:val="ListParagraph"/>
              <w:numPr>
                <w:ilvl w:val="0"/>
                <w:numId w:val="4"/>
              </w:numPr>
            </w:pPr>
            <w:r>
              <w:t>Encourage critical analysis of . . .</w:t>
            </w:r>
          </w:p>
          <w:p w:rsidR="009D5962" w:rsidRDefault="009D5962" w:rsidP="0052732D">
            <w:pPr>
              <w:pStyle w:val="ListParagraph"/>
              <w:numPr>
                <w:ilvl w:val="0"/>
                <w:numId w:val="4"/>
              </w:numPr>
            </w:pPr>
            <w:r>
              <w:t>Develop student awareness of . . .</w:t>
            </w:r>
          </w:p>
          <w:p w:rsidR="009D5962" w:rsidRDefault="009D5962" w:rsidP="0052732D">
            <w:pPr>
              <w:pStyle w:val="ListParagraph"/>
              <w:numPr>
                <w:ilvl w:val="0"/>
                <w:numId w:val="4"/>
              </w:numPr>
            </w:pPr>
            <w:r>
              <w:t>Introduce students to . . .</w:t>
            </w:r>
          </w:p>
          <w:p w:rsidR="009D5962" w:rsidRDefault="009D5962" w:rsidP="0052732D">
            <w:pPr>
              <w:pStyle w:val="ListParagraph"/>
              <w:numPr>
                <w:ilvl w:val="0"/>
                <w:numId w:val="4"/>
              </w:numPr>
            </w:pPr>
            <w:r>
              <w:t>Provide and introduction to . . .</w:t>
            </w:r>
          </w:p>
          <w:p w:rsidR="009D5962" w:rsidRDefault="009D5962" w:rsidP="0052732D">
            <w:pPr>
              <w:pStyle w:val="ListParagraph"/>
              <w:numPr>
                <w:ilvl w:val="0"/>
                <w:numId w:val="4"/>
              </w:numPr>
            </w:pPr>
            <w:r>
              <w:t>Give students opportunities to . . .</w:t>
            </w:r>
          </w:p>
          <w:p w:rsidR="009D5962" w:rsidRDefault="009D5962" w:rsidP="0052732D">
            <w:pPr>
              <w:pStyle w:val="ListParagraph"/>
              <w:numPr>
                <w:ilvl w:val="0"/>
                <w:numId w:val="4"/>
              </w:numPr>
            </w:pPr>
            <w:r>
              <w:t>Show how . . . is integrated with . . .</w:t>
            </w:r>
          </w:p>
          <w:p w:rsidR="009D5962" w:rsidRDefault="009D5962" w:rsidP="0052732D">
            <w:pPr>
              <w:pStyle w:val="ListParagraph"/>
              <w:numPr>
                <w:ilvl w:val="0"/>
                <w:numId w:val="4"/>
              </w:numPr>
            </w:pPr>
            <w:r>
              <w:t xml:space="preserve">Examine </w:t>
            </w:r>
            <w:r w:rsidR="00DC3A52">
              <w:t>. . .</w:t>
            </w:r>
          </w:p>
          <w:p w:rsidR="00DC3A52" w:rsidRDefault="00DC3A52" w:rsidP="0052732D">
            <w:pPr>
              <w:pStyle w:val="ListParagraph"/>
              <w:numPr>
                <w:ilvl w:val="0"/>
                <w:numId w:val="4"/>
              </w:numPr>
            </w:pPr>
            <w:r>
              <w:t xml:space="preserve">Teach techniques in . . . </w:t>
            </w:r>
          </w:p>
          <w:p w:rsidR="00DC3A52" w:rsidRDefault="00DC3A52" w:rsidP="0052732D">
            <w:pPr>
              <w:pStyle w:val="ListParagraph"/>
              <w:numPr>
                <w:ilvl w:val="0"/>
                <w:numId w:val="4"/>
              </w:numPr>
            </w:pPr>
            <w:r>
              <w:t>Provide research opportunities for . . .</w:t>
            </w:r>
          </w:p>
          <w:p w:rsidR="0052732D" w:rsidRDefault="0052732D" w:rsidP="00FE4C10"/>
          <w:p w:rsidR="00E0481A" w:rsidRPr="0012511C" w:rsidRDefault="0096618C" w:rsidP="00FE4C10">
            <w:r w:rsidRPr="0037143E">
              <w:rPr>
                <w:rFonts w:cs="Arial"/>
                <w:vanish/>
              </w:rPr>
              <w:t>  Use bullets in a single-spaced list of course goals.</w:t>
            </w:r>
          </w:p>
        </w:tc>
      </w:tr>
      <w:tr w:rsidR="00E0481A" w:rsidRPr="0012511C" w:rsidTr="0037143E">
        <w:tc>
          <w:tcPr>
            <w:tcW w:w="3708" w:type="dxa"/>
          </w:tcPr>
          <w:p w:rsidR="00B23B64" w:rsidRDefault="00B23B64" w:rsidP="00513CFA"/>
          <w:p w:rsidR="0004345D" w:rsidRDefault="0096618C" w:rsidP="00513CFA">
            <w:r w:rsidRPr="0012511C">
              <w:t>Major Course Topics</w:t>
            </w:r>
          </w:p>
          <w:p w:rsidR="0004345D" w:rsidRPr="0012511C" w:rsidRDefault="0004345D" w:rsidP="0004345D"/>
        </w:tc>
        <w:tc>
          <w:tcPr>
            <w:tcW w:w="5148" w:type="dxa"/>
          </w:tcPr>
          <w:p w:rsidR="00B23B64" w:rsidRDefault="00B23B64" w:rsidP="0057181A"/>
          <w:p w:rsidR="00FE4C10" w:rsidRPr="0012511C" w:rsidRDefault="0096618C" w:rsidP="0057181A">
            <w:r w:rsidRPr="0012511C">
              <w:t xml:space="preserve">List </w:t>
            </w:r>
            <w:r w:rsidR="00A20BA9">
              <w:t xml:space="preserve">major </w:t>
            </w:r>
            <w:r w:rsidRPr="0012511C">
              <w:t>course topics</w:t>
            </w:r>
            <w:r w:rsidR="00FE4C10">
              <w:t xml:space="preserve">; separate by using </w:t>
            </w:r>
            <w:r w:rsidR="00FE4C10">
              <w:lastRenderedPageBreak/>
              <w:t>semicolons.</w:t>
            </w:r>
            <w:r w:rsidR="00937A1C">
              <w:t xml:space="preserve">  The topics should support the department’s purpose in offering this course and the expected learning outcomes.  All three of these input fields </w:t>
            </w:r>
            <w:r w:rsidR="00B541A8">
              <w:t xml:space="preserve">(topics, purpose, and learning outcomes) </w:t>
            </w:r>
            <w:r w:rsidR="00937A1C">
              <w:t>should connect together.</w:t>
            </w:r>
          </w:p>
        </w:tc>
      </w:tr>
      <w:tr w:rsidR="00E0481A" w:rsidRPr="0012511C" w:rsidTr="0037143E">
        <w:tc>
          <w:tcPr>
            <w:tcW w:w="3708" w:type="dxa"/>
          </w:tcPr>
          <w:p w:rsidR="00B23B64" w:rsidRDefault="00B23B64" w:rsidP="00513CFA"/>
          <w:p w:rsidR="00E0481A" w:rsidRDefault="0057181A" w:rsidP="00513CFA">
            <w:r w:rsidRPr="0012511C">
              <w:t>Learning Outcomes</w:t>
            </w:r>
          </w:p>
          <w:p w:rsidR="00D31201" w:rsidRDefault="00D31201" w:rsidP="00513CFA"/>
          <w:p w:rsidR="0004345D" w:rsidRDefault="0004345D"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Default="004B2385" w:rsidP="00673FF9"/>
          <w:p w:rsidR="004B2385" w:rsidRPr="0012511C" w:rsidRDefault="004B2385" w:rsidP="00673FF9"/>
        </w:tc>
        <w:tc>
          <w:tcPr>
            <w:tcW w:w="5148" w:type="dxa"/>
          </w:tcPr>
          <w:p w:rsidR="00BB3F54" w:rsidRDefault="00BB3F54" w:rsidP="0057181A"/>
          <w:p w:rsidR="0057181A" w:rsidRPr="0012511C" w:rsidRDefault="0057181A" w:rsidP="0057181A">
            <w:r w:rsidRPr="0012511C">
              <w:t xml:space="preserve">Begin this section with “At the completion of this course, the student is expected to:” </w:t>
            </w:r>
          </w:p>
          <w:p w:rsidR="0057181A" w:rsidRPr="0012511C" w:rsidRDefault="0057181A" w:rsidP="00B23B64"/>
          <w:p w:rsidR="0057181A" w:rsidRPr="0012511C" w:rsidRDefault="0057181A" w:rsidP="00B23B64">
            <w:r w:rsidRPr="0012511C">
              <w:t xml:space="preserve">List student course learning outcomes single-spaced, indicating each with a bullet. </w:t>
            </w:r>
          </w:p>
          <w:p w:rsidR="0057181A" w:rsidRPr="0012511C" w:rsidRDefault="0057181A" w:rsidP="0037143E">
            <w:pPr>
              <w:numPr>
                <w:ilvl w:val="0"/>
                <w:numId w:val="2"/>
              </w:numPr>
            </w:pPr>
            <w:r w:rsidRPr="0012511C">
              <w:t>Each entry sh</w:t>
            </w:r>
            <w:r w:rsidR="00673FF9">
              <w:t>ould begin with an active verb that reflects the cognitive process associated with the outcome.</w:t>
            </w:r>
          </w:p>
          <w:p w:rsidR="0057181A" w:rsidRDefault="0057181A" w:rsidP="0037143E">
            <w:pPr>
              <w:numPr>
                <w:ilvl w:val="0"/>
                <w:numId w:val="2"/>
              </w:numPr>
            </w:pPr>
            <w:r w:rsidRPr="0012511C">
              <w:t xml:space="preserve">List outcomes pertaining to knowledge, skills, and </w:t>
            </w:r>
            <w:r w:rsidR="00FA2915">
              <w:t xml:space="preserve">values </w:t>
            </w:r>
            <w:r w:rsidRPr="0012511C">
              <w:t xml:space="preserve">that logically follow the “to” in the stem phase. </w:t>
            </w:r>
          </w:p>
          <w:p w:rsidR="00FE4C10" w:rsidRDefault="00FE4C10" w:rsidP="00FE4C10"/>
          <w:p w:rsidR="00FE4C10" w:rsidRPr="00FA2915" w:rsidRDefault="00673FF9" w:rsidP="00FE4C10">
            <w:pPr>
              <w:rPr>
                <w:color w:val="FF0000"/>
              </w:rPr>
            </w:pPr>
            <w:r>
              <w:t>Consult the Bloom’s Taxonomy informat</w:t>
            </w:r>
            <w:r w:rsidR="00FA2915">
              <w:t xml:space="preserve">ion at the end of this document to assist in stating learning outcomes.  </w:t>
            </w:r>
            <w:r>
              <w:t xml:space="preserve"> Review committees highly consider these </w:t>
            </w:r>
            <w:r w:rsidR="00FA2915">
              <w:t xml:space="preserve">learning </w:t>
            </w:r>
            <w:r>
              <w:t xml:space="preserve">outcomes during the approval process.  </w:t>
            </w:r>
            <w:proofErr w:type="spellStart"/>
            <w:r w:rsidR="00FA2915">
              <w:rPr>
                <w:color w:val="FF0000"/>
              </w:rPr>
              <w:t>xxxxxx</w:t>
            </w:r>
            <w:proofErr w:type="spellEnd"/>
          </w:p>
          <w:p w:rsidR="004B2385" w:rsidRDefault="004B2385" w:rsidP="0057181A"/>
          <w:p w:rsidR="00E0481A" w:rsidRPr="0012511C" w:rsidRDefault="00673FF9" w:rsidP="00FA2915">
            <w:r w:rsidRPr="0012511C">
              <w:t>If the course provides dual instruction</w:t>
            </w:r>
            <w:r>
              <w:t xml:space="preserve"> </w:t>
            </w:r>
            <w:r w:rsidRPr="0012511C">
              <w:t>(</w:t>
            </w:r>
            <w:r>
              <w:t xml:space="preserve">e.g., </w:t>
            </w:r>
            <w:r w:rsidRPr="0012511C">
              <w:t>4xx7/5xx7),</w:t>
            </w:r>
            <w:r>
              <w:t xml:space="preserve"> identify the learning outcomes for undergraduate and graduate students separately.  </w:t>
            </w:r>
            <w:r w:rsidR="00FA2915">
              <w:t>T</w:t>
            </w:r>
            <w:r>
              <w:t xml:space="preserve">here should be higher-order learning outcomes identified for graduate students.  </w:t>
            </w:r>
            <w:r w:rsidR="008B515B" w:rsidRPr="00FA2915">
              <w:rPr>
                <w:color w:val="FF0000"/>
              </w:rPr>
              <w:t xml:space="preserve">For example, undergraduate students may be expected to </w:t>
            </w:r>
            <w:r w:rsidR="008B515B" w:rsidRPr="00FA2915">
              <w:rPr>
                <w:i/>
                <w:color w:val="FF0000"/>
              </w:rPr>
              <w:t>understand</w:t>
            </w:r>
            <w:r w:rsidR="008B515B" w:rsidRPr="00FA2915">
              <w:rPr>
                <w:color w:val="FF0000"/>
              </w:rPr>
              <w:t xml:space="preserve"> information and graduate students expected to </w:t>
            </w:r>
            <w:r w:rsidR="008B515B" w:rsidRPr="00FA2915">
              <w:rPr>
                <w:i/>
                <w:color w:val="FF0000"/>
              </w:rPr>
              <w:t xml:space="preserve">apply </w:t>
            </w:r>
            <w:r w:rsidR="008B515B" w:rsidRPr="00FA2915">
              <w:rPr>
                <w:color w:val="FF0000"/>
              </w:rPr>
              <w:t>information.</w:t>
            </w:r>
            <w:r w:rsidR="0057181A" w:rsidRPr="00FA2915">
              <w:rPr>
                <w:rFonts w:cs="Arial"/>
                <w:vanish/>
                <w:color w:val="FF0000"/>
              </w:rPr>
              <w:t>  Do not capitalize each entry.</w:t>
            </w:r>
          </w:p>
        </w:tc>
      </w:tr>
      <w:tr w:rsidR="0096618C" w:rsidRPr="0012511C" w:rsidTr="0037143E">
        <w:tc>
          <w:tcPr>
            <w:tcW w:w="3708" w:type="dxa"/>
          </w:tcPr>
          <w:p w:rsidR="00B23B64" w:rsidRDefault="00B23B64" w:rsidP="00513CFA"/>
          <w:p w:rsidR="0096618C" w:rsidRDefault="0057181A" w:rsidP="00513CFA">
            <w:r w:rsidRPr="0012511C">
              <w:t>Major Assignments</w:t>
            </w:r>
          </w:p>
          <w:p w:rsidR="0004345D" w:rsidRDefault="0004345D" w:rsidP="00513CFA"/>
          <w:p w:rsidR="0004345D" w:rsidRPr="0012511C" w:rsidRDefault="0004345D" w:rsidP="0004345D"/>
        </w:tc>
        <w:tc>
          <w:tcPr>
            <w:tcW w:w="5148" w:type="dxa"/>
          </w:tcPr>
          <w:p w:rsidR="00BB3F54" w:rsidRDefault="00BB3F54" w:rsidP="0057181A"/>
          <w:p w:rsidR="00B23B64" w:rsidRDefault="00B23B64" w:rsidP="0057181A">
            <w:r>
              <w:t>Describe</w:t>
            </w:r>
            <w:r w:rsidR="0057181A" w:rsidRPr="0012511C">
              <w:t xml:space="preserve"> the </w:t>
            </w:r>
            <w:r>
              <w:t>major assignments of the course</w:t>
            </w:r>
            <w:r w:rsidR="004B2385">
              <w:t xml:space="preserve"> (use headings, if preferred)</w:t>
            </w:r>
            <w:r>
              <w:t>.</w:t>
            </w:r>
          </w:p>
          <w:p w:rsidR="00B23B64" w:rsidRDefault="00B23B64" w:rsidP="0057181A"/>
          <w:p w:rsidR="0096618C" w:rsidRPr="004B2385" w:rsidRDefault="0057181A" w:rsidP="0057181A">
            <w:r w:rsidRPr="0012511C">
              <w:t>If the course provides dual instruction</w:t>
            </w:r>
            <w:r w:rsidR="0082490B">
              <w:t xml:space="preserve"> </w:t>
            </w:r>
            <w:r w:rsidRPr="0012511C">
              <w:t>(</w:t>
            </w:r>
            <w:r w:rsidR="0082490B">
              <w:t xml:space="preserve">e.g., </w:t>
            </w:r>
            <w:r w:rsidRPr="0012511C">
              <w:t>4xx7/5xx7), be sure to separate and differentiate the assignments for und</w:t>
            </w:r>
            <w:r w:rsidR="00B23B64">
              <w:t>ergraduate and graduate students.</w:t>
            </w:r>
            <w:r w:rsidRPr="0037143E">
              <w:rPr>
                <w:rFonts w:cs="Arial"/>
                <w:vanish/>
              </w:rPr>
              <w:t>  If preferred, use headings for each assignment</w:t>
            </w:r>
          </w:p>
        </w:tc>
      </w:tr>
      <w:tr w:rsidR="0096618C" w:rsidRPr="0012511C" w:rsidTr="0037143E">
        <w:tc>
          <w:tcPr>
            <w:tcW w:w="3708" w:type="dxa"/>
          </w:tcPr>
          <w:p w:rsidR="00B23B64" w:rsidRDefault="00B23B64" w:rsidP="00513CFA"/>
          <w:p w:rsidR="0096618C" w:rsidRDefault="0057181A" w:rsidP="00513CFA">
            <w:r w:rsidRPr="0012511C">
              <w:t>Grade Assignment</w:t>
            </w:r>
          </w:p>
          <w:p w:rsidR="00387363" w:rsidRPr="0037143E" w:rsidRDefault="00387363" w:rsidP="00387363">
            <w:pPr>
              <w:rPr>
                <w:rFonts w:ascii="Times New Roman" w:hAnsi="Times New Roman"/>
                <w:sz w:val="24"/>
                <w:szCs w:val="24"/>
              </w:rPr>
            </w:pPr>
            <w:r w:rsidRPr="0037143E">
              <w:rPr>
                <w:rFonts w:ascii="Times New Roman" w:hAnsi="Times New Roman"/>
                <w:sz w:val="24"/>
                <w:szCs w:val="24"/>
              </w:rPr>
              <w:t> </w:t>
            </w:r>
          </w:p>
          <w:p w:rsidR="00387363" w:rsidRPr="0012511C" w:rsidRDefault="00387363" w:rsidP="0004345D"/>
        </w:tc>
        <w:tc>
          <w:tcPr>
            <w:tcW w:w="5148" w:type="dxa"/>
          </w:tcPr>
          <w:p w:rsidR="00FC78EF" w:rsidRPr="0037143E" w:rsidRDefault="00FC78EF" w:rsidP="0057181A">
            <w:pPr>
              <w:rPr>
                <w:rFonts w:cs="Arial"/>
              </w:rPr>
            </w:pPr>
          </w:p>
          <w:p w:rsidR="0096618C" w:rsidRPr="00387363" w:rsidRDefault="00387363" w:rsidP="004B2385">
            <w:r w:rsidRPr="0037143E">
              <w:rPr>
                <w:rFonts w:cs="Arial"/>
              </w:rPr>
              <w:t xml:space="preserve">Explain what each </w:t>
            </w:r>
            <w:r w:rsidR="00937A1C">
              <w:rPr>
                <w:rFonts w:cs="Arial"/>
              </w:rPr>
              <w:t xml:space="preserve">major </w:t>
            </w:r>
            <w:r w:rsidRPr="0037143E">
              <w:rPr>
                <w:rFonts w:cs="Arial"/>
              </w:rPr>
              <w:t>assignme</w:t>
            </w:r>
            <w:r w:rsidR="00FA2915">
              <w:rPr>
                <w:rFonts w:cs="Arial"/>
              </w:rPr>
              <w:t>nt listed above is worth, either in points or</w:t>
            </w:r>
            <w:r w:rsidRPr="0037143E">
              <w:rPr>
                <w:rFonts w:cs="Arial"/>
              </w:rPr>
              <w:t xml:space="preserve"> percentages. For dual-level courses (</w:t>
            </w:r>
            <w:r w:rsidR="0082490B" w:rsidRPr="0037143E">
              <w:rPr>
                <w:rFonts w:cs="Arial"/>
              </w:rPr>
              <w:t>e.g</w:t>
            </w:r>
            <w:r w:rsidRPr="0037143E">
              <w:rPr>
                <w:rFonts w:cs="Arial"/>
              </w:rPr>
              <w:t>., 4xx7/5xx7), be sure to include differentiated undergraduate and graduate valuations.</w:t>
            </w:r>
            <w:r w:rsidRPr="0037143E">
              <w:rPr>
                <w:rFonts w:cs="Arial"/>
                <w:vanish/>
              </w:rPr>
              <w:t xml:space="preserve"> </w:t>
            </w:r>
            <w:r w:rsidR="0057181A" w:rsidRPr="0037143E">
              <w:rPr>
                <w:rFonts w:cs="Arial"/>
                <w:vanish/>
              </w:rPr>
              <w:t>  If preferred, use a table.</w:t>
            </w:r>
          </w:p>
        </w:tc>
      </w:tr>
      <w:tr w:rsidR="0096618C" w:rsidRPr="0012511C" w:rsidTr="0037143E">
        <w:tc>
          <w:tcPr>
            <w:tcW w:w="3708" w:type="dxa"/>
            <w:tcBorders>
              <w:bottom w:val="single" w:sz="4" w:space="0" w:color="auto"/>
            </w:tcBorders>
          </w:tcPr>
          <w:p w:rsidR="00B23B64" w:rsidRDefault="00B23B64" w:rsidP="0057181A"/>
          <w:p w:rsidR="0057181A" w:rsidRDefault="0057181A" w:rsidP="0057181A">
            <w:r w:rsidRPr="0012511C">
              <w:t xml:space="preserve">Grading Scale </w:t>
            </w:r>
          </w:p>
          <w:p w:rsidR="0004345D" w:rsidRDefault="0004345D" w:rsidP="0057181A"/>
          <w:p w:rsidR="0096618C" w:rsidRPr="0012511C" w:rsidRDefault="0057181A" w:rsidP="0057181A">
            <w:r w:rsidRPr="0037143E">
              <w:rPr>
                <w:rFonts w:cs="Arial"/>
                <w:vanish/>
              </w:rPr>
              <w:t>  If preferred, use a table.</w:t>
            </w:r>
          </w:p>
        </w:tc>
        <w:tc>
          <w:tcPr>
            <w:tcW w:w="5148" w:type="dxa"/>
            <w:tcBorders>
              <w:bottom w:val="single" w:sz="4" w:space="0" w:color="auto"/>
            </w:tcBorders>
          </w:tcPr>
          <w:p w:rsidR="00FC78EF" w:rsidRPr="0037143E" w:rsidRDefault="00FC78EF" w:rsidP="00387363">
            <w:pPr>
              <w:rPr>
                <w:rFonts w:cs="Arial"/>
              </w:rPr>
            </w:pPr>
          </w:p>
          <w:p w:rsidR="0096618C" w:rsidRPr="00D1430B" w:rsidRDefault="00387363" w:rsidP="0057181A">
            <w:pPr>
              <w:rPr>
                <w:sz w:val="24"/>
                <w:szCs w:val="24"/>
              </w:rPr>
            </w:pPr>
            <w:r w:rsidRPr="0037143E">
              <w:rPr>
                <w:rFonts w:cs="Arial"/>
              </w:rPr>
              <w:t xml:space="preserve">Define your </w:t>
            </w:r>
            <w:r w:rsidR="008B515B">
              <w:rPr>
                <w:rFonts w:cs="Arial"/>
              </w:rPr>
              <w:t xml:space="preserve">final </w:t>
            </w:r>
            <w:r w:rsidRPr="0037143E">
              <w:rPr>
                <w:rFonts w:cs="Arial"/>
              </w:rPr>
              <w:t xml:space="preserve">grading scale (e.g., A = 94%-100%; A- = 90-93%; A = 940-1000 points; A- = 900-939 points).  </w:t>
            </w:r>
            <w:r w:rsidR="008B515B">
              <w:rPr>
                <w:rFonts w:cs="Arial"/>
              </w:rPr>
              <w:t>S</w:t>
            </w:r>
            <w:r w:rsidRPr="0037143E">
              <w:rPr>
                <w:rFonts w:cs="Arial"/>
              </w:rPr>
              <w:t xml:space="preserve">cales are different for </w:t>
            </w:r>
            <w:r w:rsidR="008B515B">
              <w:rPr>
                <w:rFonts w:cs="Arial"/>
              </w:rPr>
              <w:t>undergraduate and graduate work.</w:t>
            </w:r>
            <w:r w:rsidR="0057181A" w:rsidRPr="0037143E">
              <w:rPr>
                <w:rFonts w:cs="Arial"/>
                <w:vanish/>
              </w:rPr>
              <w:t>  If preferred, use a table.</w:t>
            </w:r>
          </w:p>
        </w:tc>
      </w:tr>
      <w:tr w:rsidR="0096618C" w:rsidRPr="0012511C" w:rsidTr="0037143E">
        <w:tc>
          <w:tcPr>
            <w:tcW w:w="3708" w:type="dxa"/>
            <w:tcBorders>
              <w:bottom w:val="single" w:sz="4" w:space="0" w:color="auto"/>
            </w:tcBorders>
            <w:shd w:val="clear" w:color="auto" w:fill="auto"/>
          </w:tcPr>
          <w:p w:rsidR="00B23B64" w:rsidRDefault="00B23B64" w:rsidP="00513CFA"/>
          <w:p w:rsidR="0096618C" w:rsidRDefault="000E68D2" w:rsidP="00513CFA">
            <w:r w:rsidRPr="0012511C">
              <w:t>Attendance Policy</w:t>
            </w:r>
          </w:p>
          <w:p w:rsidR="0004345D" w:rsidRDefault="0004345D" w:rsidP="00513CFA"/>
          <w:p w:rsidR="0004345D" w:rsidRPr="0012511C" w:rsidRDefault="0004345D" w:rsidP="00513CFA"/>
        </w:tc>
        <w:tc>
          <w:tcPr>
            <w:tcW w:w="5148" w:type="dxa"/>
            <w:tcBorders>
              <w:bottom w:val="single" w:sz="4" w:space="0" w:color="auto"/>
            </w:tcBorders>
            <w:shd w:val="clear" w:color="auto" w:fill="auto"/>
          </w:tcPr>
          <w:p w:rsidR="00FC78EF" w:rsidRDefault="00FC78EF" w:rsidP="00513CFA"/>
          <w:p w:rsidR="0096618C" w:rsidRDefault="000E68D2" w:rsidP="00513CFA">
            <w:r w:rsidRPr="0012511C">
              <w:t xml:space="preserve">The university requires each faculty member to provide a written statement </w:t>
            </w:r>
            <w:r w:rsidR="007623DC">
              <w:t xml:space="preserve">defining the </w:t>
            </w:r>
            <w:r w:rsidRPr="0012511C">
              <w:t>attendance policy, including laboratory/clinical sessions where applicable, for the course so that students may be fully informed of their attendance responsibilities, including penalties which may be imposed for failing to meet these responsibilities.</w:t>
            </w:r>
          </w:p>
          <w:p w:rsidR="008B515B" w:rsidRDefault="008B515B" w:rsidP="00513CFA"/>
          <w:p w:rsidR="00B23B64" w:rsidRPr="0012511C" w:rsidRDefault="008B515B" w:rsidP="00937A1C">
            <w:r>
              <w:t xml:space="preserve">The review committees </w:t>
            </w:r>
            <w:r w:rsidR="00937A1C">
              <w:t xml:space="preserve">review </w:t>
            </w:r>
            <w:r>
              <w:t>these statements from a student’s point of view</w:t>
            </w:r>
            <w:r w:rsidR="007623DC">
              <w:t>; thus, clarity is stressed.</w:t>
            </w:r>
          </w:p>
        </w:tc>
      </w:tr>
      <w:tr w:rsidR="0096618C" w:rsidRPr="0012511C" w:rsidTr="0037143E">
        <w:tc>
          <w:tcPr>
            <w:tcW w:w="3708" w:type="dxa"/>
            <w:shd w:val="clear" w:color="auto" w:fill="auto"/>
          </w:tcPr>
          <w:p w:rsidR="00B23B64" w:rsidRDefault="00B23B64" w:rsidP="00513CFA"/>
          <w:p w:rsidR="0096618C" w:rsidRDefault="000E68D2" w:rsidP="00513CFA">
            <w:r w:rsidRPr="0012511C">
              <w:t>Other Information</w:t>
            </w:r>
          </w:p>
          <w:p w:rsidR="0004345D" w:rsidRDefault="0004345D" w:rsidP="00513CFA"/>
          <w:p w:rsidR="0004345D" w:rsidRDefault="0004345D" w:rsidP="00513CFA"/>
          <w:p w:rsidR="00D1430B" w:rsidRDefault="00D1430B" w:rsidP="00513CFA"/>
          <w:p w:rsidR="00D1430B" w:rsidRDefault="00D1430B" w:rsidP="00513CFA"/>
          <w:p w:rsidR="00D1430B" w:rsidRDefault="00D1430B" w:rsidP="00513CFA"/>
          <w:p w:rsidR="00D1430B" w:rsidRDefault="00D1430B" w:rsidP="00513CFA"/>
          <w:p w:rsidR="00D1430B" w:rsidRDefault="00D1430B" w:rsidP="00513CFA"/>
          <w:p w:rsidR="00D1430B" w:rsidRPr="0012511C" w:rsidRDefault="00D1430B" w:rsidP="00513CFA"/>
        </w:tc>
        <w:tc>
          <w:tcPr>
            <w:tcW w:w="5148" w:type="dxa"/>
            <w:shd w:val="clear" w:color="auto" w:fill="auto"/>
          </w:tcPr>
          <w:p w:rsidR="00FC78EF" w:rsidRPr="0037143E" w:rsidRDefault="00FC78EF" w:rsidP="0037143E">
            <w:pPr>
              <w:pStyle w:val="NormalWeb"/>
              <w:spacing w:before="0" w:beforeAutospacing="0" w:after="0" w:afterAutospacing="0"/>
              <w:rPr>
                <w:rFonts w:ascii="Verdana" w:hAnsi="Verdana"/>
                <w:sz w:val="20"/>
                <w:szCs w:val="20"/>
              </w:rPr>
            </w:pPr>
          </w:p>
          <w:p w:rsidR="0096618C" w:rsidRDefault="000E68D2" w:rsidP="004B2385">
            <w:pPr>
              <w:pStyle w:val="NormalWeb"/>
              <w:spacing w:before="0" w:beforeAutospacing="0" w:after="0" w:afterAutospacing="0"/>
            </w:pPr>
            <w:r w:rsidRPr="0037143E">
              <w:rPr>
                <w:rFonts w:ascii="Verdana" w:hAnsi="Verdana"/>
                <w:sz w:val="20"/>
                <w:szCs w:val="20"/>
              </w:rPr>
              <w:t>Describe any other</w:t>
            </w:r>
            <w:r w:rsidR="004B2385">
              <w:rPr>
                <w:rFonts w:ascii="Verdana" w:hAnsi="Verdana"/>
                <w:sz w:val="20"/>
                <w:szCs w:val="20"/>
              </w:rPr>
              <w:t xml:space="preserve"> relevant information about the </w:t>
            </w:r>
            <w:r w:rsidRPr="0037143E">
              <w:rPr>
                <w:rFonts w:ascii="Verdana" w:hAnsi="Verdana"/>
                <w:sz w:val="20"/>
                <w:szCs w:val="20"/>
              </w:rPr>
              <w:t>course</w:t>
            </w:r>
            <w:r w:rsidR="004B2385">
              <w:rPr>
                <w:rFonts w:ascii="Verdana" w:hAnsi="Verdana"/>
                <w:sz w:val="20"/>
                <w:szCs w:val="20"/>
              </w:rPr>
              <w:t xml:space="preserve"> that will be on the syllabus</w:t>
            </w:r>
            <w:r w:rsidRPr="0037143E">
              <w:rPr>
                <w:rFonts w:ascii="Verdana" w:hAnsi="Verdana"/>
                <w:sz w:val="20"/>
                <w:szCs w:val="20"/>
              </w:rPr>
              <w:t>.  Use headings, if appropriate.</w:t>
            </w:r>
          </w:p>
          <w:p w:rsidR="008B515B" w:rsidRDefault="008B515B" w:rsidP="00513CFA"/>
          <w:p w:rsidR="00D1430B" w:rsidRDefault="00937A1C" w:rsidP="00513CFA">
            <w:r>
              <w:t>The following is an example of other information to be included on a syllabus.  The Graduate Council requires this statement (others may also use it).</w:t>
            </w:r>
          </w:p>
          <w:p w:rsidR="00D1430B" w:rsidRDefault="00D1430B" w:rsidP="00513CFA"/>
          <w:p w:rsidR="00B23B64" w:rsidRPr="00B57AD0" w:rsidRDefault="004B2385" w:rsidP="00513CFA">
            <w:r>
              <w:t>Academic Misconduct (include a statement such as)</w:t>
            </w:r>
            <w:r w:rsidR="00D1430B">
              <w:t xml:space="preserve"> </w:t>
            </w:r>
            <w:r w:rsidRPr="00C84173">
              <w:t>ETSU is committed to developing the intellect and moral character of its students. To that end, all instances of plagiarism, cheating, and other forms of academic misconduct shall be punished in accord with Tennessee Board of Regents Policy. Any knowledge of conduct of this nature should be reported to the proper authorities. Not reporting instances of academic misconduct represents a fundamental break with honor code policy, and although this offense is not punishable, reflects a callous disregard for yourself, your classmates, and your professors. Penalties for academic misconduct will vary with the seriousness of the offense and may include, but are not limited to: a grade of F on the work in question, a grade of F for the course, reprimand, probation, suspension, and expulsion. For a second academic misconduct offense, the penalty is permanent expulsion.</w:t>
            </w:r>
          </w:p>
        </w:tc>
      </w:tr>
      <w:tr w:rsidR="0096618C" w:rsidRPr="0012511C" w:rsidTr="0037143E">
        <w:tc>
          <w:tcPr>
            <w:tcW w:w="3708" w:type="dxa"/>
            <w:shd w:val="clear" w:color="auto" w:fill="auto"/>
          </w:tcPr>
          <w:p w:rsidR="00B23B64" w:rsidRDefault="00B23B64" w:rsidP="00513CFA"/>
          <w:p w:rsidR="0096618C" w:rsidRDefault="000E68D2" w:rsidP="00513CFA">
            <w:r w:rsidRPr="0012511C">
              <w:t>Required Textbook(s)</w:t>
            </w:r>
          </w:p>
          <w:p w:rsidR="00B23B64" w:rsidRPr="0012511C" w:rsidRDefault="00B23B64" w:rsidP="00513CFA"/>
        </w:tc>
        <w:tc>
          <w:tcPr>
            <w:tcW w:w="5148" w:type="dxa"/>
            <w:shd w:val="clear" w:color="auto" w:fill="auto"/>
          </w:tcPr>
          <w:p w:rsidR="00FC78EF" w:rsidRDefault="00FC78EF" w:rsidP="00513CFA"/>
          <w:p w:rsidR="00FC78EF" w:rsidRPr="0012511C" w:rsidRDefault="000E68D2" w:rsidP="00513CFA">
            <w:r w:rsidRPr="0012511C">
              <w:t>Use the bibliographical form of your discipline and single-space entries.</w:t>
            </w:r>
          </w:p>
        </w:tc>
      </w:tr>
      <w:tr w:rsidR="000E68D2" w:rsidRPr="0012511C" w:rsidTr="0037143E">
        <w:tc>
          <w:tcPr>
            <w:tcW w:w="3708" w:type="dxa"/>
          </w:tcPr>
          <w:p w:rsidR="00CD7AEE" w:rsidRDefault="00CD7AEE" w:rsidP="00513CFA"/>
          <w:p w:rsidR="000E68D2" w:rsidRPr="0012511C" w:rsidRDefault="000E68D2" w:rsidP="00513CFA">
            <w:r w:rsidRPr="0012511C">
              <w:t>Required Reading(s)</w:t>
            </w:r>
          </w:p>
        </w:tc>
        <w:tc>
          <w:tcPr>
            <w:tcW w:w="5148" w:type="dxa"/>
          </w:tcPr>
          <w:p w:rsidR="00C3507E" w:rsidRDefault="00C3507E" w:rsidP="00C3507E">
            <w:pPr>
              <w:pStyle w:val="NormalWeb"/>
              <w:spacing w:before="0" w:beforeAutospacing="0" w:after="0" w:afterAutospacing="0"/>
              <w:rPr>
                <w:rFonts w:ascii="Verdana" w:hAnsi="Verdana"/>
                <w:sz w:val="20"/>
                <w:szCs w:val="20"/>
              </w:rPr>
            </w:pPr>
          </w:p>
          <w:p w:rsidR="00C3507E" w:rsidRPr="00B541A8" w:rsidRDefault="00B541A8" w:rsidP="00B541A8">
            <w:pPr>
              <w:pStyle w:val="NormalWeb"/>
              <w:spacing w:before="0" w:beforeAutospacing="0" w:after="0" w:afterAutospacing="0"/>
              <w:rPr>
                <w:rFonts w:ascii="Verdana" w:hAnsi="Verdana"/>
                <w:sz w:val="20"/>
                <w:szCs w:val="20"/>
              </w:rPr>
            </w:pPr>
            <w:r w:rsidRPr="00B541A8">
              <w:rPr>
                <w:rFonts w:ascii="Verdana" w:hAnsi="Verdana"/>
                <w:sz w:val="20"/>
                <w:szCs w:val="20"/>
              </w:rPr>
              <w:t xml:space="preserve">Often, an instructor has specific journal articles or passages in book other than the text book that students are required to read.  If you require readings outside the textbook, enter them here using </w:t>
            </w:r>
            <w:r w:rsidR="000E68D2" w:rsidRPr="00B541A8">
              <w:rPr>
                <w:rFonts w:ascii="Verdana" w:hAnsi="Verdana"/>
                <w:sz w:val="20"/>
                <w:szCs w:val="20"/>
              </w:rPr>
              <w:t xml:space="preserve">the bibliographical form of your </w:t>
            </w:r>
            <w:r w:rsidR="000E68D2" w:rsidRPr="00B541A8">
              <w:rPr>
                <w:rFonts w:ascii="Verdana" w:hAnsi="Verdana"/>
                <w:sz w:val="20"/>
                <w:szCs w:val="20"/>
              </w:rPr>
              <w:lastRenderedPageBreak/>
              <w:t>discipline</w:t>
            </w:r>
            <w:r w:rsidRPr="00B541A8">
              <w:rPr>
                <w:rFonts w:ascii="Verdana" w:hAnsi="Verdana"/>
                <w:sz w:val="20"/>
                <w:szCs w:val="20"/>
              </w:rPr>
              <w:t xml:space="preserve"> </w:t>
            </w:r>
            <w:r w:rsidR="000E68D2" w:rsidRPr="00B541A8">
              <w:rPr>
                <w:rFonts w:ascii="Verdana" w:hAnsi="Verdana"/>
                <w:sz w:val="20"/>
                <w:szCs w:val="20"/>
              </w:rPr>
              <w:t>and single-space entries.</w:t>
            </w:r>
            <w:r w:rsidRPr="00B541A8">
              <w:rPr>
                <w:rFonts w:ascii="Verdana" w:hAnsi="Verdana"/>
                <w:sz w:val="20"/>
                <w:szCs w:val="20"/>
              </w:rPr>
              <w:t xml:space="preserve"> If not, enter NA.</w:t>
            </w:r>
          </w:p>
        </w:tc>
      </w:tr>
      <w:tr w:rsidR="000E68D2" w:rsidRPr="0012511C" w:rsidTr="0037143E">
        <w:tc>
          <w:tcPr>
            <w:tcW w:w="3708" w:type="dxa"/>
          </w:tcPr>
          <w:p w:rsidR="00CD7AEE" w:rsidRDefault="00CD7AEE" w:rsidP="00513CFA"/>
          <w:p w:rsidR="000E68D2" w:rsidRDefault="000E68D2" w:rsidP="00513CFA">
            <w:r w:rsidRPr="0012511C">
              <w:t>Bibliography, Recommended Readings, and/or Supplemental Materials</w:t>
            </w:r>
          </w:p>
          <w:p w:rsidR="0004345D" w:rsidRDefault="0004345D" w:rsidP="00513CFA"/>
          <w:p w:rsidR="0004345D" w:rsidRPr="0012511C" w:rsidRDefault="0004345D" w:rsidP="0004345D"/>
        </w:tc>
        <w:tc>
          <w:tcPr>
            <w:tcW w:w="5148" w:type="dxa"/>
          </w:tcPr>
          <w:p w:rsidR="00FC78EF" w:rsidRDefault="00FC78EF" w:rsidP="00FC6239"/>
          <w:p w:rsidR="00976217" w:rsidRDefault="00976217" w:rsidP="00976217">
            <w:pPr>
              <w:rPr>
                <w:color w:val="000000"/>
              </w:rPr>
            </w:pPr>
            <w:r>
              <w:rPr>
                <w:color w:val="000000"/>
              </w:rPr>
              <w:t xml:space="preserve">A bibliography is required in the "supplemental and additional readings" portion of the syllabus and should include ETSU library holdings, as applicable to course content. Use the bibliographical form of your discipline and single-space entries. Entries should include library databases and journals as well as books, as appropriate. </w:t>
            </w:r>
          </w:p>
          <w:p w:rsidR="00976217" w:rsidRDefault="00976217" w:rsidP="00976217">
            <w:pPr>
              <w:rPr>
                <w:color w:val="000000"/>
              </w:rPr>
            </w:pPr>
            <w:r>
              <w:rPr>
                <w:color w:val="000000"/>
              </w:rPr>
              <w:t> </w:t>
            </w:r>
          </w:p>
          <w:p w:rsidR="00976217" w:rsidRDefault="00976217" w:rsidP="00976217">
            <w:pPr>
              <w:rPr>
                <w:color w:val="000000"/>
              </w:rPr>
            </w:pPr>
            <w:r>
              <w:rPr>
                <w:color w:val="000000"/>
              </w:rPr>
              <w:t>Information presented is used to review library holdings supportive of the course. Therefore, library call numbers or locations must be entered at the end of each bibliographic entry. If you find, in creating the proposal, that the library does not have sufficient materials to support course content, please contact the library to discuss ordering materials. The bibliography may then include items designated “on order.”</w:t>
            </w:r>
          </w:p>
          <w:p w:rsidR="00976217" w:rsidRDefault="00976217" w:rsidP="00976217">
            <w:pPr>
              <w:rPr>
                <w:color w:val="000000"/>
              </w:rPr>
            </w:pPr>
          </w:p>
          <w:p w:rsidR="00976217" w:rsidRDefault="00976217" w:rsidP="00976217">
            <w:pPr>
              <w:rPr>
                <w:color w:val="000000"/>
              </w:rPr>
            </w:pPr>
            <w:r>
              <w:rPr>
                <w:color w:val="000000"/>
              </w:rPr>
              <w:t>The bibliography may also include resources used to create the course or supplemental readings suggested for student exploration, but not held by the library.</w:t>
            </w:r>
          </w:p>
          <w:p w:rsidR="00FC78EF" w:rsidRPr="00FC6239" w:rsidRDefault="00FC78EF" w:rsidP="00D1430B"/>
        </w:tc>
      </w:tr>
    </w:tbl>
    <w:p w:rsidR="00C12CCA" w:rsidRDefault="00C12CCA"/>
    <w:p w:rsidR="00673FF9" w:rsidRDefault="004F03D1" w:rsidP="00673FF9">
      <w:pPr>
        <w:jc w:val="center"/>
      </w:pPr>
      <w:hyperlink r:id="rId9" w:history="1">
        <w:r w:rsidR="00673FF9" w:rsidRPr="006751CF">
          <w:rPr>
            <w:rStyle w:val="Hyperlink"/>
          </w:rPr>
          <w:t>Bloom’s Revised Taxonomy</w:t>
        </w:r>
      </w:hyperlink>
    </w:p>
    <w:p w:rsidR="00B541A8" w:rsidRDefault="00B541A8" w:rsidP="00673FF9">
      <w:pPr>
        <w:jc w:val="center"/>
      </w:pPr>
    </w:p>
    <w:p w:rsidR="00673FF9" w:rsidRDefault="00673FF9" w:rsidP="00673FF9">
      <w:r>
        <w:t>Six levels of cognitive complexity.  All six may be evident in one course.</w:t>
      </w:r>
    </w:p>
    <w:p w:rsidR="00673FF9" w:rsidRDefault="00673FF9" w:rsidP="00673FF9"/>
    <w:p w:rsidR="00673FF9" w:rsidRDefault="00673FF9" w:rsidP="00673FF9">
      <w:r>
        <w:t>Level of course may determine learning outcome expectations</w:t>
      </w:r>
    </w:p>
    <w:p w:rsidR="00673FF9" w:rsidRDefault="00673FF9" w:rsidP="00673FF9">
      <w:r>
        <w:t>Lower division courses may have more lower-level cognitive expectations</w:t>
      </w:r>
    </w:p>
    <w:p w:rsidR="00673FF9" w:rsidRDefault="00673FF9" w:rsidP="00673FF9">
      <w:r>
        <w:t>Higher division undergraduate courses should include higher-level cognitive expectations</w:t>
      </w:r>
    </w:p>
    <w:p w:rsidR="00B541A8" w:rsidRDefault="00B541A8" w:rsidP="00673FF9"/>
    <w:p w:rsidR="00673FF9" w:rsidRDefault="00673FF9" w:rsidP="00673FF9">
      <w:r>
        <w:t xml:space="preserve">Graduate courses should include mostly higher-level cognitive expectations </w:t>
      </w:r>
    </w:p>
    <w:p w:rsidR="00673FF9" w:rsidRDefault="00673FF9" w:rsidP="00673FF9">
      <w:pPr>
        <w:jc w:val="center"/>
      </w:pPr>
    </w:p>
    <w:tbl>
      <w:tblPr>
        <w:tblStyle w:val="TableGrid"/>
        <w:tblW w:w="0" w:type="auto"/>
        <w:tblLook w:val="04A0" w:firstRow="1" w:lastRow="0" w:firstColumn="1" w:lastColumn="0" w:noHBand="0" w:noVBand="1"/>
      </w:tblPr>
      <w:tblGrid>
        <w:gridCol w:w="4428"/>
        <w:gridCol w:w="4428"/>
      </w:tblGrid>
      <w:tr w:rsidR="00673FF9" w:rsidTr="00937A1C">
        <w:tc>
          <w:tcPr>
            <w:tcW w:w="4788" w:type="dxa"/>
          </w:tcPr>
          <w:p w:rsidR="00673FF9" w:rsidRDefault="00673FF9" w:rsidP="00937A1C">
            <w:pPr>
              <w:jc w:val="center"/>
            </w:pPr>
            <w:r>
              <w:rPr>
                <w:noProof/>
              </w:rPr>
              <w:lastRenderedPageBreak/>
              <w:drawing>
                <wp:inline distT="0" distB="0" distL="0" distR="0">
                  <wp:extent cx="2676525" cy="2324100"/>
                  <wp:effectExtent l="19050" t="0" r="9525" b="0"/>
                  <wp:docPr id="4" name="Picture 4" descr="Old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 Bloom Triangle"/>
                          <pic:cNvPicPr>
                            <a:picLocks noChangeAspect="1" noChangeArrowheads="1"/>
                          </pic:cNvPicPr>
                        </pic:nvPicPr>
                        <pic:blipFill>
                          <a:blip r:embed="rId10" cstate="print"/>
                          <a:srcRect/>
                          <a:stretch>
                            <a:fillRect/>
                          </a:stretch>
                        </pic:blipFill>
                        <pic:spPr bwMode="auto">
                          <a:xfrm>
                            <a:off x="0" y="0"/>
                            <a:ext cx="2676525" cy="2324100"/>
                          </a:xfrm>
                          <a:prstGeom prst="rect">
                            <a:avLst/>
                          </a:prstGeom>
                          <a:noFill/>
                          <a:ln w="9525">
                            <a:noFill/>
                            <a:miter lim="800000"/>
                            <a:headEnd/>
                            <a:tailEnd/>
                          </a:ln>
                        </pic:spPr>
                      </pic:pic>
                    </a:graphicData>
                  </a:graphic>
                </wp:inline>
              </w:drawing>
            </w:r>
          </w:p>
        </w:tc>
        <w:tc>
          <w:tcPr>
            <w:tcW w:w="4788" w:type="dxa"/>
          </w:tcPr>
          <w:p w:rsidR="00673FF9" w:rsidRDefault="00673FF9" w:rsidP="00937A1C">
            <w:pPr>
              <w:jc w:val="center"/>
            </w:pPr>
            <w:r w:rsidRPr="00255D8C">
              <w:rPr>
                <w:noProof/>
              </w:rPr>
              <w:drawing>
                <wp:inline distT="0" distB="0" distL="0" distR="0">
                  <wp:extent cx="2676525" cy="2314575"/>
                  <wp:effectExtent l="19050" t="0" r="9525" b="0"/>
                  <wp:docPr id="2" name="il_fi" descr="http://ww2.odu.edu/educ/roverbau/Bloom/fx_Bloo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2.odu.edu/educ/roverbau/Bloom/fx_Bloom_New.jpg"/>
                          <pic:cNvPicPr>
                            <a:picLocks noChangeAspect="1" noChangeArrowheads="1"/>
                          </pic:cNvPicPr>
                        </pic:nvPicPr>
                        <pic:blipFill>
                          <a:blip r:embed="rId11" cstate="print"/>
                          <a:srcRect/>
                          <a:stretch>
                            <a:fillRect/>
                          </a:stretch>
                        </pic:blipFill>
                        <pic:spPr bwMode="auto">
                          <a:xfrm>
                            <a:off x="0" y="0"/>
                            <a:ext cx="2676525" cy="2314575"/>
                          </a:xfrm>
                          <a:prstGeom prst="rect">
                            <a:avLst/>
                          </a:prstGeom>
                          <a:noFill/>
                          <a:ln w="9525">
                            <a:noFill/>
                            <a:miter lim="800000"/>
                            <a:headEnd/>
                            <a:tailEnd/>
                          </a:ln>
                        </pic:spPr>
                      </pic:pic>
                    </a:graphicData>
                  </a:graphic>
                </wp:inline>
              </w:drawing>
            </w:r>
          </w:p>
        </w:tc>
      </w:tr>
      <w:tr w:rsidR="00673FF9" w:rsidTr="00937A1C">
        <w:tc>
          <w:tcPr>
            <w:tcW w:w="4788" w:type="dxa"/>
            <w:shd w:val="clear" w:color="auto" w:fill="C6D9F1" w:themeFill="text2" w:themeFillTint="33"/>
          </w:tcPr>
          <w:p w:rsidR="00673FF9" w:rsidRDefault="00673FF9" w:rsidP="00937A1C">
            <w:pPr>
              <w:jc w:val="center"/>
              <w:rPr>
                <w:noProof/>
              </w:rPr>
            </w:pPr>
            <w:r>
              <w:rPr>
                <w:noProof/>
              </w:rPr>
              <w:t>Old Version</w:t>
            </w:r>
          </w:p>
        </w:tc>
        <w:tc>
          <w:tcPr>
            <w:tcW w:w="4788" w:type="dxa"/>
            <w:shd w:val="clear" w:color="auto" w:fill="C6D9F1" w:themeFill="text2" w:themeFillTint="33"/>
          </w:tcPr>
          <w:p w:rsidR="00673FF9" w:rsidRDefault="00673FF9" w:rsidP="00937A1C">
            <w:pPr>
              <w:jc w:val="center"/>
            </w:pPr>
            <w:r>
              <w:t>New Version</w:t>
            </w:r>
          </w:p>
        </w:tc>
      </w:tr>
    </w:tbl>
    <w:p w:rsidR="00673FF9" w:rsidRDefault="00673FF9" w:rsidP="00673FF9">
      <w:pPr>
        <w:jc w:val="center"/>
      </w:pPr>
    </w:p>
    <w:p w:rsidR="000745C5" w:rsidRDefault="000745C5" w:rsidP="00673FF9">
      <w:pPr>
        <w:jc w:val="center"/>
      </w:pPr>
      <w:r>
        <w:t xml:space="preserve">Learning Outcome Examples </w:t>
      </w:r>
    </w:p>
    <w:p w:rsidR="000745C5" w:rsidRDefault="000745C5" w:rsidP="00673FF9">
      <w:pPr>
        <w:jc w:val="center"/>
      </w:pPr>
    </w:p>
    <w:p w:rsidR="000745C5" w:rsidRDefault="000745C5" w:rsidP="000745C5">
      <w:r>
        <w:t>Avoid using understanding or know as a verb.  Action verb statements can be measured.</w:t>
      </w:r>
    </w:p>
    <w:p w:rsidR="000745C5" w:rsidRDefault="000745C5" w:rsidP="00673FF9">
      <w:pPr>
        <w:jc w:val="center"/>
      </w:pPr>
    </w:p>
    <w:tbl>
      <w:tblPr>
        <w:tblStyle w:val="TableGrid"/>
        <w:tblW w:w="0" w:type="auto"/>
        <w:tblLook w:val="04A0" w:firstRow="1" w:lastRow="0" w:firstColumn="1" w:lastColumn="0" w:noHBand="0" w:noVBand="1"/>
      </w:tblPr>
      <w:tblGrid>
        <w:gridCol w:w="3079"/>
        <w:gridCol w:w="5777"/>
      </w:tblGrid>
      <w:tr w:rsidR="00673FF9" w:rsidTr="00937A1C">
        <w:tc>
          <w:tcPr>
            <w:tcW w:w="3258" w:type="dxa"/>
            <w:shd w:val="clear" w:color="auto" w:fill="C6D9F1" w:themeFill="text2" w:themeFillTint="33"/>
          </w:tcPr>
          <w:p w:rsidR="00673FF9" w:rsidRPr="00255D8C" w:rsidRDefault="00673FF9" w:rsidP="00937A1C">
            <w:pPr>
              <w:jc w:val="center"/>
            </w:pPr>
            <w:r>
              <w:t>Learning Outcome Category</w:t>
            </w:r>
          </w:p>
        </w:tc>
        <w:tc>
          <w:tcPr>
            <w:tcW w:w="6318" w:type="dxa"/>
            <w:shd w:val="clear" w:color="auto" w:fill="C6D9F1" w:themeFill="text2" w:themeFillTint="33"/>
          </w:tcPr>
          <w:p w:rsidR="00673FF9" w:rsidRPr="00255D8C" w:rsidRDefault="00673FF9" w:rsidP="00937A1C">
            <w:pPr>
              <w:jc w:val="center"/>
            </w:pPr>
            <w:r w:rsidRPr="00255D8C">
              <w:t>Action Verb</w:t>
            </w:r>
            <w:r>
              <w:t xml:space="preserve"> Examples</w:t>
            </w:r>
          </w:p>
        </w:tc>
      </w:tr>
      <w:tr w:rsidR="00673FF9" w:rsidTr="00937A1C">
        <w:tc>
          <w:tcPr>
            <w:tcW w:w="3258" w:type="dxa"/>
          </w:tcPr>
          <w:p w:rsidR="00673FF9" w:rsidRDefault="00673FF9" w:rsidP="00937A1C">
            <w:r w:rsidRPr="00255D8C">
              <w:t>Remembering</w:t>
            </w:r>
            <w:r>
              <w:t xml:space="preserve"> </w:t>
            </w:r>
          </w:p>
          <w:p w:rsidR="00673FF9" w:rsidRDefault="00673FF9" w:rsidP="00937A1C">
            <w:r>
              <w:t>(recall and remember)</w:t>
            </w:r>
          </w:p>
          <w:p w:rsidR="00673FF9" w:rsidRPr="00255D8C" w:rsidRDefault="00673FF9" w:rsidP="00937A1C"/>
        </w:tc>
        <w:tc>
          <w:tcPr>
            <w:tcW w:w="6318" w:type="dxa"/>
          </w:tcPr>
          <w:p w:rsidR="00673FF9" w:rsidRDefault="00673FF9" w:rsidP="00937A1C">
            <w:pPr>
              <w:rPr>
                <w:b/>
              </w:rPr>
            </w:pPr>
            <w:r>
              <w:t>define, list, memorize, recall, recognize, repeat</w:t>
            </w:r>
          </w:p>
        </w:tc>
      </w:tr>
      <w:tr w:rsidR="00673FF9" w:rsidTr="00937A1C">
        <w:tc>
          <w:tcPr>
            <w:tcW w:w="3258" w:type="dxa"/>
          </w:tcPr>
          <w:p w:rsidR="00673FF9" w:rsidRDefault="00673FF9" w:rsidP="00937A1C">
            <w:r w:rsidRPr="00255D8C">
              <w:t>Understanding</w:t>
            </w:r>
            <w:r>
              <w:t xml:space="preserve"> </w:t>
            </w:r>
          </w:p>
          <w:p w:rsidR="00673FF9" w:rsidRDefault="00673FF9" w:rsidP="00937A1C">
            <w:r>
              <w:t>(explain ideas or concepts)</w:t>
            </w:r>
          </w:p>
          <w:p w:rsidR="00673FF9" w:rsidRPr="00255D8C" w:rsidRDefault="00673FF9" w:rsidP="00937A1C"/>
        </w:tc>
        <w:tc>
          <w:tcPr>
            <w:tcW w:w="6318" w:type="dxa"/>
          </w:tcPr>
          <w:p w:rsidR="00673FF9" w:rsidRDefault="00673FF9" w:rsidP="00937A1C">
            <w:pPr>
              <w:rPr>
                <w:b/>
              </w:rPr>
            </w:pPr>
            <w:r>
              <w:t>classify, describe, discuss, explain, identify, infer, locate, recognize, report, select, summarize, translate, paraphrase</w:t>
            </w:r>
          </w:p>
        </w:tc>
      </w:tr>
      <w:tr w:rsidR="00673FF9" w:rsidTr="00937A1C">
        <w:tc>
          <w:tcPr>
            <w:tcW w:w="3258" w:type="dxa"/>
          </w:tcPr>
          <w:p w:rsidR="00673FF9" w:rsidRDefault="00673FF9" w:rsidP="00937A1C">
            <w:r w:rsidRPr="00255D8C">
              <w:t>Applying</w:t>
            </w:r>
          </w:p>
          <w:p w:rsidR="00673FF9" w:rsidRPr="00255D8C" w:rsidRDefault="00673FF9" w:rsidP="00937A1C">
            <w:r>
              <w:t>(use the information)</w:t>
            </w:r>
          </w:p>
        </w:tc>
        <w:tc>
          <w:tcPr>
            <w:tcW w:w="6318" w:type="dxa"/>
          </w:tcPr>
          <w:p w:rsidR="00673FF9" w:rsidRDefault="00673FF9" w:rsidP="00937A1C">
            <w:pPr>
              <w:rPr>
                <w:b/>
              </w:rPr>
            </w:pPr>
            <w:r>
              <w:t>choose, demonstrate, dramatize, employ, execute, illustrate, implement, interpret, operate, schedule, sketch, solve, use, write</w:t>
            </w:r>
          </w:p>
        </w:tc>
      </w:tr>
      <w:tr w:rsidR="00673FF9" w:rsidTr="00937A1C">
        <w:tc>
          <w:tcPr>
            <w:tcW w:w="3258" w:type="dxa"/>
          </w:tcPr>
          <w:p w:rsidR="00673FF9" w:rsidRDefault="00673FF9" w:rsidP="00937A1C">
            <w:r w:rsidRPr="00255D8C">
              <w:t>Analyzing</w:t>
            </w:r>
          </w:p>
          <w:p w:rsidR="00673FF9" w:rsidRPr="00255D8C" w:rsidRDefault="00673FF9" w:rsidP="00937A1C">
            <w:r>
              <w:t>(distinguish between  different parts)</w:t>
            </w:r>
          </w:p>
        </w:tc>
        <w:tc>
          <w:tcPr>
            <w:tcW w:w="6318" w:type="dxa"/>
          </w:tcPr>
          <w:p w:rsidR="00673FF9" w:rsidRDefault="00673FF9" w:rsidP="00937A1C">
            <w:pPr>
              <w:rPr>
                <w:b/>
              </w:rPr>
            </w:pPr>
            <w:r>
              <w:t>appraise, compare, contrast, criticize, critique, differentiate, discriminate, distinguish, examine, experiment, judge, question, test</w:t>
            </w:r>
          </w:p>
        </w:tc>
      </w:tr>
      <w:tr w:rsidR="00673FF9" w:rsidTr="00937A1C">
        <w:tc>
          <w:tcPr>
            <w:tcW w:w="3258" w:type="dxa"/>
          </w:tcPr>
          <w:p w:rsidR="00673FF9" w:rsidRDefault="00673FF9" w:rsidP="00937A1C">
            <w:r>
              <w:t>Evaluating</w:t>
            </w:r>
          </w:p>
          <w:p w:rsidR="00673FF9" w:rsidRPr="00255D8C" w:rsidRDefault="00673FF9" w:rsidP="00937A1C">
            <w:r>
              <w:t>(justify a stand or decision)</w:t>
            </w:r>
          </w:p>
        </w:tc>
        <w:tc>
          <w:tcPr>
            <w:tcW w:w="6318" w:type="dxa"/>
          </w:tcPr>
          <w:p w:rsidR="00673FF9" w:rsidRDefault="00673FF9" w:rsidP="00937A1C">
            <w:pPr>
              <w:rPr>
                <w:b/>
              </w:rPr>
            </w:pPr>
            <w:r>
              <w:t>appraise, argue, defend, judge, select, support, value, evaluate</w:t>
            </w:r>
          </w:p>
        </w:tc>
      </w:tr>
      <w:tr w:rsidR="00673FF9" w:rsidTr="00937A1C">
        <w:tc>
          <w:tcPr>
            <w:tcW w:w="3258" w:type="dxa"/>
          </w:tcPr>
          <w:p w:rsidR="00673FF9" w:rsidRDefault="00673FF9" w:rsidP="00937A1C">
            <w:r>
              <w:t>Creating</w:t>
            </w:r>
          </w:p>
          <w:p w:rsidR="00673FF9" w:rsidRPr="00255D8C" w:rsidRDefault="00673FF9" w:rsidP="00937A1C">
            <w:r>
              <w:t>(create new product or point of view)</w:t>
            </w:r>
          </w:p>
        </w:tc>
        <w:tc>
          <w:tcPr>
            <w:tcW w:w="6318" w:type="dxa"/>
          </w:tcPr>
          <w:p w:rsidR="00673FF9" w:rsidRDefault="00673FF9" w:rsidP="00937A1C">
            <w:pPr>
              <w:rPr>
                <w:b/>
              </w:rPr>
            </w:pPr>
            <w:r>
              <w:t>assemble, construct, create, design, develop, formulate, reorganizing elements, write</w:t>
            </w:r>
          </w:p>
        </w:tc>
      </w:tr>
    </w:tbl>
    <w:p w:rsidR="00673FF9" w:rsidRPr="00255D8C" w:rsidRDefault="00673FF9" w:rsidP="00673FF9">
      <w:pPr>
        <w:rPr>
          <w:b/>
        </w:rPr>
      </w:pPr>
    </w:p>
    <w:p w:rsidR="000C640C" w:rsidRDefault="000C640C"/>
    <w:sectPr w:rsidR="000C640C" w:rsidSect="0099784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D1" w:rsidRDefault="004F03D1" w:rsidP="007A4329">
      <w:r>
        <w:separator/>
      </w:r>
    </w:p>
  </w:endnote>
  <w:endnote w:type="continuationSeparator" w:id="0">
    <w:p w:rsidR="004F03D1" w:rsidRDefault="004F03D1" w:rsidP="007A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472"/>
      <w:docPartObj>
        <w:docPartGallery w:val="Page Numbers (Bottom of Page)"/>
        <w:docPartUnique/>
      </w:docPartObj>
    </w:sdtPr>
    <w:sdtEndPr/>
    <w:sdtContent>
      <w:p w:rsidR="00937A1C" w:rsidRDefault="004F03D1">
        <w:pPr>
          <w:pStyle w:val="Footer"/>
          <w:jc w:val="right"/>
        </w:pPr>
        <w:r>
          <w:fldChar w:fldCharType="begin"/>
        </w:r>
        <w:r>
          <w:instrText xml:space="preserve"> PAGE   \* MERGEFORMAT </w:instrText>
        </w:r>
        <w:r>
          <w:fldChar w:fldCharType="separate"/>
        </w:r>
        <w:r w:rsidR="001F14C6">
          <w:rPr>
            <w:noProof/>
          </w:rPr>
          <w:t>1</w:t>
        </w:r>
        <w:r>
          <w:rPr>
            <w:noProof/>
          </w:rPr>
          <w:fldChar w:fldCharType="end"/>
        </w:r>
      </w:p>
    </w:sdtContent>
  </w:sdt>
  <w:p w:rsidR="00937A1C" w:rsidRDefault="0093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D1" w:rsidRDefault="004F03D1" w:rsidP="007A4329">
      <w:r>
        <w:separator/>
      </w:r>
    </w:p>
  </w:footnote>
  <w:footnote w:type="continuationSeparator" w:id="0">
    <w:p w:rsidR="004F03D1" w:rsidRDefault="004F03D1" w:rsidP="007A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1B13"/>
    <w:multiLevelType w:val="multilevel"/>
    <w:tmpl w:val="A524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02D4D"/>
    <w:multiLevelType w:val="multilevel"/>
    <w:tmpl w:val="4A84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868F5"/>
    <w:multiLevelType w:val="hybridMultilevel"/>
    <w:tmpl w:val="9C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61E30"/>
    <w:multiLevelType w:val="multilevel"/>
    <w:tmpl w:val="C0D8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481A"/>
    <w:rsid w:val="000016B4"/>
    <w:rsid w:val="000026EE"/>
    <w:rsid w:val="000039DA"/>
    <w:rsid w:val="000046B2"/>
    <w:rsid w:val="00005AFB"/>
    <w:rsid w:val="00013248"/>
    <w:rsid w:val="00014580"/>
    <w:rsid w:val="000223F0"/>
    <w:rsid w:val="00027156"/>
    <w:rsid w:val="0003004C"/>
    <w:rsid w:val="000313CF"/>
    <w:rsid w:val="00032091"/>
    <w:rsid w:val="000338DB"/>
    <w:rsid w:val="00033A29"/>
    <w:rsid w:val="0003630C"/>
    <w:rsid w:val="0004118B"/>
    <w:rsid w:val="00042375"/>
    <w:rsid w:val="0004345D"/>
    <w:rsid w:val="00045FED"/>
    <w:rsid w:val="00047122"/>
    <w:rsid w:val="000510BE"/>
    <w:rsid w:val="0005130E"/>
    <w:rsid w:val="00055F8B"/>
    <w:rsid w:val="000603CD"/>
    <w:rsid w:val="0006061F"/>
    <w:rsid w:val="00063119"/>
    <w:rsid w:val="00066D3C"/>
    <w:rsid w:val="000714DF"/>
    <w:rsid w:val="000745C5"/>
    <w:rsid w:val="000876EC"/>
    <w:rsid w:val="00087CAF"/>
    <w:rsid w:val="00090254"/>
    <w:rsid w:val="00092CC1"/>
    <w:rsid w:val="000936AD"/>
    <w:rsid w:val="00097DD1"/>
    <w:rsid w:val="000A2CE8"/>
    <w:rsid w:val="000A51BB"/>
    <w:rsid w:val="000A5B9C"/>
    <w:rsid w:val="000B1C4C"/>
    <w:rsid w:val="000B1D25"/>
    <w:rsid w:val="000B32BD"/>
    <w:rsid w:val="000C427F"/>
    <w:rsid w:val="000C5DEB"/>
    <w:rsid w:val="000C640C"/>
    <w:rsid w:val="000C66E5"/>
    <w:rsid w:val="000D274C"/>
    <w:rsid w:val="000D5CBC"/>
    <w:rsid w:val="000E0B33"/>
    <w:rsid w:val="000E5428"/>
    <w:rsid w:val="000E68D2"/>
    <w:rsid w:val="000E6C00"/>
    <w:rsid w:val="000F0801"/>
    <w:rsid w:val="000F47C2"/>
    <w:rsid w:val="000F5534"/>
    <w:rsid w:val="0010134F"/>
    <w:rsid w:val="0010584F"/>
    <w:rsid w:val="00111756"/>
    <w:rsid w:val="00112C2B"/>
    <w:rsid w:val="001130C5"/>
    <w:rsid w:val="001156A0"/>
    <w:rsid w:val="001231D5"/>
    <w:rsid w:val="0012511C"/>
    <w:rsid w:val="00125B30"/>
    <w:rsid w:val="00127231"/>
    <w:rsid w:val="00127A81"/>
    <w:rsid w:val="00130006"/>
    <w:rsid w:val="0013012D"/>
    <w:rsid w:val="0013100C"/>
    <w:rsid w:val="0013348E"/>
    <w:rsid w:val="001360C3"/>
    <w:rsid w:val="0013783E"/>
    <w:rsid w:val="001379D8"/>
    <w:rsid w:val="0014731B"/>
    <w:rsid w:val="00153A00"/>
    <w:rsid w:val="00160FEF"/>
    <w:rsid w:val="001610C5"/>
    <w:rsid w:val="001612C8"/>
    <w:rsid w:val="0016347A"/>
    <w:rsid w:val="00165621"/>
    <w:rsid w:val="00172298"/>
    <w:rsid w:val="00173B91"/>
    <w:rsid w:val="0017563D"/>
    <w:rsid w:val="00176622"/>
    <w:rsid w:val="00177831"/>
    <w:rsid w:val="00181690"/>
    <w:rsid w:val="001817FD"/>
    <w:rsid w:val="00185911"/>
    <w:rsid w:val="0018614B"/>
    <w:rsid w:val="00187622"/>
    <w:rsid w:val="00190BD7"/>
    <w:rsid w:val="00195054"/>
    <w:rsid w:val="00195B45"/>
    <w:rsid w:val="00196476"/>
    <w:rsid w:val="00196990"/>
    <w:rsid w:val="00196BC1"/>
    <w:rsid w:val="00196E16"/>
    <w:rsid w:val="001A2333"/>
    <w:rsid w:val="001A283E"/>
    <w:rsid w:val="001A3CA3"/>
    <w:rsid w:val="001A45D6"/>
    <w:rsid w:val="001A4763"/>
    <w:rsid w:val="001A4F13"/>
    <w:rsid w:val="001B2653"/>
    <w:rsid w:val="001B2B0D"/>
    <w:rsid w:val="001B4B80"/>
    <w:rsid w:val="001B4B9C"/>
    <w:rsid w:val="001B7765"/>
    <w:rsid w:val="001C0AE4"/>
    <w:rsid w:val="001C2EE0"/>
    <w:rsid w:val="001C39BD"/>
    <w:rsid w:val="001C428C"/>
    <w:rsid w:val="001C639F"/>
    <w:rsid w:val="001D03B9"/>
    <w:rsid w:val="001D1D32"/>
    <w:rsid w:val="001D552F"/>
    <w:rsid w:val="001D5905"/>
    <w:rsid w:val="001D76B5"/>
    <w:rsid w:val="001E28B6"/>
    <w:rsid w:val="001E2A71"/>
    <w:rsid w:val="001E3B7C"/>
    <w:rsid w:val="001E5490"/>
    <w:rsid w:val="001F049B"/>
    <w:rsid w:val="001F14C6"/>
    <w:rsid w:val="001F168B"/>
    <w:rsid w:val="001F4F96"/>
    <w:rsid w:val="001F7AC6"/>
    <w:rsid w:val="00201551"/>
    <w:rsid w:val="00203168"/>
    <w:rsid w:val="00205BD8"/>
    <w:rsid w:val="00205D62"/>
    <w:rsid w:val="0020757A"/>
    <w:rsid w:val="00207A42"/>
    <w:rsid w:val="002106D4"/>
    <w:rsid w:val="00217C0A"/>
    <w:rsid w:val="002223D3"/>
    <w:rsid w:val="00225921"/>
    <w:rsid w:val="00225EBF"/>
    <w:rsid w:val="00230F19"/>
    <w:rsid w:val="0023137C"/>
    <w:rsid w:val="0023414A"/>
    <w:rsid w:val="00235DE3"/>
    <w:rsid w:val="00236933"/>
    <w:rsid w:val="00236F80"/>
    <w:rsid w:val="0024145C"/>
    <w:rsid w:val="00244E8B"/>
    <w:rsid w:val="00246DFB"/>
    <w:rsid w:val="00247B0F"/>
    <w:rsid w:val="0025048F"/>
    <w:rsid w:val="00250D70"/>
    <w:rsid w:val="00250E6A"/>
    <w:rsid w:val="002558AD"/>
    <w:rsid w:val="00255C10"/>
    <w:rsid w:val="00260189"/>
    <w:rsid w:val="002613E3"/>
    <w:rsid w:val="00261F85"/>
    <w:rsid w:val="0026565B"/>
    <w:rsid w:val="00274792"/>
    <w:rsid w:val="00275464"/>
    <w:rsid w:val="00275D94"/>
    <w:rsid w:val="00275F78"/>
    <w:rsid w:val="002820DC"/>
    <w:rsid w:val="00282438"/>
    <w:rsid w:val="0028579E"/>
    <w:rsid w:val="002870CB"/>
    <w:rsid w:val="00290A4D"/>
    <w:rsid w:val="00293205"/>
    <w:rsid w:val="00296776"/>
    <w:rsid w:val="002A0AC2"/>
    <w:rsid w:val="002A3C81"/>
    <w:rsid w:val="002A47AA"/>
    <w:rsid w:val="002A4D3B"/>
    <w:rsid w:val="002A6166"/>
    <w:rsid w:val="002B2739"/>
    <w:rsid w:val="002C1ED4"/>
    <w:rsid w:val="002C2FA2"/>
    <w:rsid w:val="002C3116"/>
    <w:rsid w:val="002C3E67"/>
    <w:rsid w:val="002C5A96"/>
    <w:rsid w:val="002D05D3"/>
    <w:rsid w:val="002D1143"/>
    <w:rsid w:val="002E01E4"/>
    <w:rsid w:val="002E17C8"/>
    <w:rsid w:val="002E3DE8"/>
    <w:rsid w:val="002E5FF8"/>
    <w:rsid w:val="002F18DD"/>
    <w:rsid w:val="002F6699"/>
    <w:rsid w:val="00303089"/>
    <w:rsid w:val="0030407F"/>
    <w:rsid w:val="00304A12"/>
    <w:rsid w:val="00305D08"/>
    <w:rsid w:val="00307B01"/>
    <w:rsid w:val="00307C08"/>
    <w:rsid w:val="0031402C"/>
    <w:rsid w:val="00316136"/>
    <w:rsid w:val="00316799"/>
    <w:rsid w:val="00322837"/>
    <w:rsid w:val="0032453D"/>
    <w:rsid w:val="003268C2"/>
    <w:rsid w:val="00327B18"/>
    <w:rsid w:val="00327F5D"/>
    <w:rsid w:val="00330F72"/>
    <w:rsid w:val="00331B9E"/>
    <w:rsid w:val="00332EA0"/>
    <w:rsid w:val="00333829"/>
    <w:rsid w:val="00336E16"/>
    <w:rsid w:val="003426E5"/>
    <w:rsid w:val="00343109"/>
    <w:rsid w:val="00346492"/>
    <w:rsid w:val="00357C21"/>
    <w:rsid w:val="003601E4"/>
    <w:rsid w:val="00360631"/>
    <w:rsid w:val="003622C6"/>
    <w:rsid w:val="003633C2"/>
    <w:rsid w:val="0036422B"/>
    <w:rsid w:val="00365978"/>
    <w:rsid w:val="00366596"/>
    <w:rsid w:val="00366E6A"/>
    <w:rsid w:val="00370809"/>
    <w:rsid w:val="0037143E"/>
    <w:rsid w:val="00375042"/>
    <w:rsid w:val="00375F9F"/>
    <w:rsid w:val="0037681D"/>
    <w:rsid w:val="0037774D"/>
    <w:rsid w:val="0038303C"/>
    <w:rsid w:val="003835F4"/>
    <w:rsid w:val="00385636"/>
    <w:rsid w:val="00387363"/>
    <w:rsid w:val="00390C50"/>
    <w:rsid w:val="0039172C"/>
    <w:rsid w:val="003928F0"/>
    <w:rsid w:val="00393403"/>
    <w:rsid w:val="003941C7"/>
    <w:rsid w:val="00394FC7"/>
    <w:rsid w:val="003955D6"/>
    <w:rsid w:val="00396989"/>
    <w:rsid w:val="00396B0C"/>
    <w:rsid w:val="003A0E76"/>
    <w:rsid w:val="003A24F2"/>
    <w:rsid w:val="003A2A61"/>
    <w:rsid w:val="003A4072"/>
    <w:rsid w:val="003A41CC"/>
    <w:rsid w:val="003A5DFD"/>
    <w:rsid w:val="003A7EA5"/>
    <w:rsid w:val="003B18A4"/>
    <w:rsid w:val="003B1BE4"/>
    <w:rsid w:val="003B22D2"/>
    <w:rsid w:val="003B5259"/>
    <w:rsid w:val="003B533F"/>
    <w:rsid w:val="003C2D3F"/>
    <w:rsid w:val="003C3E5E"/>
    <w:rsid w:val="003C7142"/>
    <w:rsid w:val="003D07FA"/>
    <w:rsid w:val="003D2123"/>
    <w:rsid w:val="003D41C3"/>
    <w:rsid w:val="003D45F1"/>
    <w:rsid w:val="003D530A"/>
    <w:rsid w:val="003D7FA4"/>
    <w:rsid w:val="003E03BF"/>
    <w:rsid w:val="003F1F79"/>
    <w:rsid w:val="003F4171"/>
    <w:rsid w:val="003F4F24"/>
    <w:rsid w:val="003F5155"/>
    <w:rsid w:val="00400582"/>
    <w:rsid w:val="00400B0A"/>
    <w:rsid w:val="00400BAE"/>
    <w:rsid w:val="00401E12"/>
    <w:rsid w:val="00401F4B"/>
    <w:rsid w:val="00402D85"/>
    <w:rsid w:val="00414C5E"/>
    <w:rsid w:val="00416BBD"/>
    <w:rsid w:val="004204F8"/>
    <w:rsid w:val="004223C0"/>
    <w:rsid w:val="00424870"/>
    <w:rsid w:val="00425516"/>
    <w:rsid w:val="00431226"/>
    <w:rsid w:val="00432BAA"/>
    <w:rsid w:val="004352D6"/>
    <w:rsid w:val="00437F4D"/>
    <w:rsid w:val="00441843"/>
    <w:rsid w:val="00445044"/>
    <w:rsid w:val="00454485"/>
    <w:rsid w:val="00455E98"/>
    <w:rsid w:val="00456F0C"/>
    <w:rsid w:val="004612F5"/>
    <w:rsid w:val="00462C12"/>
    <w:rsid w:val="00463A29"/>
    <w:rsid w:val="004650A2"/>
    <w:rsid w:val="00473A80"/>
    <w:rsid w:val="00473B59"/>
    <w:rsid w:val="00473DC8"/>
    <w:rsid w:val="0047764F"/>
    <w:rsid w:val="00480D50"/>
    <w:rsid w:val="00482815"/>
    <w:rsid w:val="00487D1C"/>
    <w:rsid w:val="0049162E"/>
    <w:rsid w:val="00492799"/>
    <w:rsid w:val="00492979"/>
    <w:rsid w:val="00496469"/>
    <w:rsid w:val="004971A7"/>
    <w:rsid w:val="004A09AA"/>
    <w:rsid w:val="004A397C"/>
    <w:rsid w:val="004A412C"/>
    <w:rsid w:val="004B0816"/>
    <w:rsid w:val="004B1804"/>
    <w:rsid w:val="004B2385"/>
    <w:rsid w:val="004B2565"/>
    <w:rsid w:val="004B3AFD"/>
    <w:rsid w:val="004B4939"/>
    <w:rsid w:val="004C2484"/>
    <w:rsid w:val="004C58DC"/>
    <w:rsid w:val="004C6314"/>
    <w:rsid w:val="004D0B6E"/>
    <w:rsid w:val="004D3CBD"/>
    <w:rsid w:val="004D447D"/>
    <w:rsid w:val="004D4809"/>
    <w:rsid w:val="004D5207"/>
    <w:rsid w:val="004D5453"/>
    <w:rsid w:val="004D5683"/>
    <w:rsid w:val="004D6F33"/>
    <w:rsid w:val="004E00F1"/>
    <w:rsid w:val="004E12B9"/>
    <w:rsid w:val="004E2DAC"/>
    <w:rsid w:val="004E3775"/>
    <w:rsid w:val="004E3ED6"/>
    <w:rsid w:val="004E4576"/>
    <w:rsid w:val="004F03D1"/>
    <w:rsid w:val="004F0846"/>
    <w:rsid w:val="004F3341"/>
    <w:rsid w:val="004F34E7"/>
    <w:rsid w:val="004F6180"/>
    <w:rsid w:val="00500E02"/>
    <w:rsid w:val="0050252D"/>
    <w:rsid w:val="00505E7B"/>
    <w:rsid w:val="005060D3"/>
    <w:rsid w:val="00511F68"/>
    <w:rsid w:val="00513395"/>
    <w:rsid w:val="00513CFA"/>
    <w:rsid w:val="00514CC7"/>
    <w:rsid w:val="00515902"/>
    <w:rsid w:val="00516AEF"/>
    <w:rsid w:val="0052491F"/>
    <w:rsid w:val="00526A7F"/>
    <w:rsid w:val="0052732D"/>
    <w:rsid w:val="00533389"/>
    <w:rsid w:val="00533CEE"/>
    <w:rsid w:val="00535AB3"/>
    <w:rsid w:val="005439A0"/>
    <w:rsid w:val="00543FA7"/>
    <w:rsid w:val="00544A9E"/>
    <w:rsid w:val="00551938"/>
    <w:rsid w:val="00553C47"/>
    <w:rsid w:val="00554EFD"/>
    <w:rsid w:val="00555EED"/>
    <w:rsid w:val="0055659E"/>
    <w:rsid w:val="00556F41"/>
    <w:rsid w:val="00561CA9"/>
    <w:rsid w:val="00561CB8"/>
    <w:rsid w:val="0056562F"/>
    <w:rsid w:val="005716F4"/>
    <w:rsid w:val="0057181A"/>
    <w:rsid w:val="0057227A"/>
    <w:rsid w:val="005736EB"/>
    <w:rsid w:val="00583980"/>
    <w:rsid w:val="00583AC6"/>
    <w:rsid w:val="0058483F"/>
    <w:rsid w:val="00595243"/>
    <w:rsid w:val="0059569E"/>
    <w:rsid w:val="005972AC"/>
    <w:rsid w:val="005B0444"/>
    <w:rsid w:val="005B0DDB"/>
    <w:rsid w:val="005B27B8"/>
    <w:rsid w:val="005B4DA8"/>
    <w:rsid w:val="005B66DA"/>
    <w:rsid w:val="005C7253"/>
    <w:rsid w:val="005E0256"/>
    <w:rsid w:val="005E1D4D"/>
    <w:rsid w:val="005E2CCA"/>
    <w:rsid w:val="005E441B"/>
    <w:rsid w:val="005E5B85"/>
    <w:rsid w:val="005F14F7"/>
    <w:rsid w:val="005F4839"/>
    <w:rsid w:val="005F4B2E"/>
    <w:rsid w:val="005F55F8"/>
    <w:rsid w:val="00600349"/>
    <w:rsid w:val="006018A1"/>
    <w:rsid w:val="0060547C"/>
    <w:rsid w:val="00611750"/>
    <w:rsid w:val="00613839"/>
    <w:rsid w:val="0062404E"/>
    <w:rsid w:val="006267B1"/>
    <w:rsid w:val="00632465"/>
    <w:rsid w:val="00632CD7"/>
    <w:rsid w:val="006338D5"/>
    <w:rsid w:val="00633FE7"/>
    <w:rsid w:val="0063483A"/>
    <w:rsid w:val="00634A5A"/>
    <w:rsid w:val="006358A5"/>
    <w:rsid w:val="006413EC"/>
    <w:rsid w:val="00641D69"/>
    <w:rsid w:val="006449F2"/>
    <w:rsid w:val="00644B05"/>
    <w:rsid w:val="0064731A"/>
    <w:rsid w:val="00647572"/>
    <w:rsid w:val="00655CCA"/>
    <w:rsid w:val="00655EC3"/>
    <w:rsid w:val="00657215"/>
    <w:rsid w:val="0066114B"/>
    <w:rsid w:val="006616A6"/>
    <w:rsid w:val="0066456B"/>
    <w:rsid w:val="006678B4"/>
    <w:rsid w:val="00667E6F"/>
    <w:rsid w:val="0067052A"/>
    <w:rsid w:val="006717D0"/>
    <w:rsid w:val="00673FF9"/>
    <w:rsid w:val="006743F3"/>
    <w:rsid w:val="006751CF"/>
    <w:rsid w:val="0067656C"/>
    <w:rsid w:val="00680014"/>
    <w:rsid w:val="00682DB0"/>
    <w:rsid w:val="0068419A"/>
    <w:rsid w:val="0068612B"/>
    <w:rsid w:val="00686445"/>
    <w:rsid w:val="00687603"/>
    <w:rsid w:val="006901BA"/>
    <w:rsid w:val="00690F48"/>
    <w:rsid w:val="0069134E"/>
    <w:rsid w:val="00694224"/>
    <w:rsid w:val="00696C11"/>
    <w:rsid w:val="006978DD"/>
    <w:rsid w:val="006A19F3"/>
    <w:rsid w:val="006B24F2"/>
    <w:rsid w:val="006B31EA"/>
    <w:rsid w:val="006B389A"/>
    <w:rsid w:val="006B4886"/>
    <w:rsid w:val="006B5F7E"/>
    <w:rsid w:val="006C330F"/>
    <w:rsid w:val="006C4778"/>
    <w:rsid w:val="006C65CA"/>
    <w:rsid w:val="006C6ABE"/>
    <w:rsid w:val="006D22D5"/>
    <w:rsid w:val="006D3037"/>
    <w:rsid w:val="006D4C13"/>
    <w:rsid w:val="006D5D2C"/>
    <w:rsid w:val="006D697B"/>
    <w:rsid w:val="006D74CD"/>
    <w:rsid w:val="006E1AF4"/>
    <w:rsid w:val="006E7802"/>
    <w:rsid w:val="006E7B8D"/>
    <w:rsid w:val="006F203E"/>
    <w:rsid w:val="006F4865"/>
    <w:rsid w:val="00711EB8"/>
    <w:rsid w:val="00712027"/>
    <w:rsid w:val="007154D6"/>
    <w:rsid w:val="00715DC0"/>
    <w:rsid w:val="00716558"/>
    <w:rsid w:val="00723108"/>
    <w:rsid w:val="0072317A"/>
    <w:rsid w:val="00723F04"/>
    <w:rsid w:val="00725BE0"/>
    <w:rsid w:val="0072703C"/>
    <w:rsid w:val="00733E14"/>
    <w:rsid w:val="00735528"/>
    <w:rsid w:val="00735813"/>
    <w:rsid w:val="007369CC"/>
    <w:rsid w:val="00736EB4"/>
    <w:rsid w:val="00737C5D"/>
    <w:rsid w:val="007421A2"/>
    <w:rsid w:val="00745452"/>
    <w:rsid w:val="0074694A"/>
    <w:rsid w:val="00747B4F"/>
    <w:rsid w:val="00751881"/>
    <w:rsid w:val="00753158"/>
    <w:rsid w:val="00756969"/>
    <w:rsid w:val="007607FC"/>
    <w:rsid w:val="0076156D"/>
    <w:rsid w:val="00761A94"/>
    <w:rsid w:val="007623DC"/>
    <w:rsid w:val="00764717"/>
    <w:rsid w:val="00772386"/>
    <w:rsid w:val="007732FE"/>
    <w:rsid w:val="007740B1"/>
    <w:rsid w:val="00774537"/>
    <w:rsid w:val="00776543"/>
    <w:rsid w:val="00776A6F"/>
    <w:rsid w:val="00780EC7"/>
    <w:rsid w:val="0078243F"/>
    <w:rsid w:val="00786E4E"/>
    <w:rsid w:val="00787D9C"/>
    <w:rsid w:val="00790308"/>
    <w:rsid w:val="00790A3B"/>
    <w:rsid w:val="00790C79"/>
    <w:rsid w:val="00791D1D"/>
    <w:rsid w:val="007951F6"/>
    <w:rsid w:val="0079799C"/>
    <w:rsid w:val="007A23BD"/>
    <w:rsid w:val="007A3719"/>
    <w:rsid w:val="007A4329"/>
    <w:rsid w:val="007A581E"/>
    <w:rsid w:val="007A6F5F"/>
    <w:rsid w:val="007A754F"/>
    <w:rsid w:val="007A7ED8"/>
    <w:rsid w:val="007B01BF"/>
    <w:rsid w:val="007B156B"/>
    <w:rsid w:val="007B3AF9"/>
    <w:rsid w:val="007B48C6"/>
    <w:rsid w:val="007C2755"/>
    <w:rsid w:val="007C34B4"/>
    <w:rsid w:val="007C34FB"/>
    <w:rsid w:val="007C428D"/>
    <w:rsid w:val="007C4469"/>
    <w:rsid w:val="007C5B2F"/>
    <w:rsid w:val="007C683E"/>
    <w:rsid w:val="007D033E"/>
    <w:rsid w:val="007D0DD2"/>
    <w:rsid w:val="007D2753"/>
    <w:rsid w:val="007E7271"/>
    <w:rsid w:val="007E77B3"/>
    <w:rsid w:val="007F1E11"/>
    <w:rsid w:val="007F2211"/>
    <w:rsid w:val="007F31D2"/>
    <w:rsid w:val="007F35AF"/>
    <w:rsid w:val="007F3B4D"/>
    <w:rsid w:val="007F7DC3"/>
    <w:rsid w:val="007F7F2B"/>
    <w:rsid w:val="0080378F"/>
    <w:rsid w:val="00806866"/>
    <w:rsid w:val="00807D09"/>
    <w:rsid w:val="00810CA6"/>
    <w:rsid w:val="00813A66"/>
    <w:rsid w:val="00815B08"/>
    <w:rsid w:val="008204BC"/>
    <w:rsid w:val="00821C60"/>
    <w:rsid w:val="0082308F"/>
    <w:rsid w:val="00824589"/>
    <w:rsid w:val="0082490B"/>
    <w:rsid w:val="00824D78"/>
    <w:rsid w:val="00826603"/>
    <w:rsid w:val="00826A69"/>
    <w:rsid w:val="00827119"/>
    <w:rsid w:val="00827CD8"/>
    <w:rsid w:val="008301F1"/>
    <w:rsid w:val="008309BD"/>
    <w:rsid w:val="00831228"/>
    <w:rsid w:val="00831D80"/>
    <w:rsid w:val="00832FF2"/>
    <w:rsid w:val="0084399C"/>
    <w:rsid w:val="00844059"/>
    <w:rsid w:val="0084409B"/>
    <w:rsid w:val="0085141B"/>
    <w:rsid w:val="00851AAF"/>
    <w:rsid w:val="00851B33"/>
    <w:rsid w:val="00852DA2"/>
    <w:rsid w:val="00857FC1"/>
    <w:rsid w:val="00860594"/>
    <w:rsid w:val="00865B54"/>
    <w:rsid w:val="0086622C"/>
    <w:rsid w:val="00866C56"/>
    <w:rsid w:val="00867241"/>
    <w:rsid w:val="0086796C"/>
    <w:rsid w:val="00871464"/>
    <w:rsid w:val="00872AFE"/>
    <w:rsid w:val="00874ACF"/>
    <w:rsid w:val="00875D63"/>
    <w:rsid w:val="00880577"/>
    <w:rsid w:val="00880597"/>
    <w:rsid w:val="0088139C"/>
    <w:rsid w:val="00881792"/>
    <w:rsid w:val="00881C1D"/>
    <w:rsid w:val="00883482"/>
    <w:rsid w:val="0088464B"/>
    <w:rsid w:val="00885356"/>
    <w:rsid w:val="0088635E"/>
    <w:rsid w:val="00891608"/>
    <w:rsid w:val="00893DBF"/>
    <w:rsid w:val="0089404E"/>
    <w:rsid w:val="008942BA"/>
    <w:rsid w:val="008A034F"/>
    <w:rsid w:val="008A515D"/>
    <w:rsid w:val="008A6FFD"/>
    <w:rsid w:val="008B19CF"/>
    <w:rsid w:val="008B515B"/>
    <w:rsid w:val="008C417C"/>
    <w:rsid w:val="008C73C2"/>
    <w:rsid w:val="008D0756"/>
    <w:rsid w:val="008D3499"/>
    <w:rsid w:val="008D63EA"/>
    <w:rsid w:val="008D7602"/>
    <w:rsid w:val="008D7DC1"/>
    <w:rsid w:val="008E4BBB"/>
    <w:rsid w:val="008F32B1"/>
    <w:rsid w:val="008F44D5"/>
    <w:rsid w:val="008F54D7"/>
    <w:rsid w:val="008F6373"/>
    <w:rsid w:val="008F6DAB"/>
    <w:rsid w:val="0090000A"/>
    <w:rsid w:val="00901ACE"/>
    <w:rsid w:val="00902155"/>
    <w:rsid w:val="00903065"/>
    <w:rsid w:val="0090381F"/>
    <w:rsid w:val="00903BA1"/>
    <w:rsid w:val="00904BCE"/>
    <w:rsid w:val="00905DB9"/>
    <w:rsid w:val="009060A2"/>
    <w:rsid w:val="00912721"/>
    <w:rsid w:val="009156A4"/>
    <w:rsid w:val="00915BDE"/>
    <w:rsid w:val="00915DB0"/>
    <w:rsid w:val="00915EE9"/>
    <w:rsid w:val="00922B1C"/>
    <w:rsid w:val="00923D42"/>
    <w:rsid w:val="00926526"/>
    <w:rsid w:val="0092694D"/>
    <w:rsid w:val="00926D24"/>
    <w:rsid w:val="00930109"/>
    <w:rsid w:val="009309C4"/>
    <w:rsid w:val="00932AE6"/>
    <w:rsid w:val="00936356"/>
    <w:rsid w:val="009377DC"/>
    <w:rsid w:val="00937A1C"/>
    <w:rsid w:val="00940DD0"/>
    <w:rsid w:val="00943350"/>
    <w:rsid w:val="00945011"/>
    <w:rsid w:val="00945C22"/>
    <w:rsid w:val="00945CF4"/>
    <w:rsid w:val="00946EE7"/>
    <w:rsid w:val="0094740A"/>
    <w:rsid w:val="00950173"/>
    <w:rsid w:val="00951754"/>
    <w:rsid w:val="00956E91"/>
    <w:rsid w:val="00960362"/>
    <w:rsid w:val="00962BF1"/>
    <w:rsid w:val="00964052"/>
    <w:rsid w:val="009640F5"/>
    <w:rsid w:val="0096618C"/>
    <w:rsid w:val="009669DA"/>
    <w:rsid w:val="00973446"/>
    <w:rsid w:val="00976217"/>
    <w:rsid w:val="009768ED"/>
    <w:rsid w:val="00977EF6"/>
    <w:rsid w:val="009851E8"/>
    <w:rsid w:val="009877B1"/>
    <w:rsid w:val="00990EF4"/>
    <w:rsid w:val="0099598F"/>
    <w:rsid w:val="00995FB2"/>
    <w:rsid w:val="00997840"/>
    <w:rsid w:val="009A1402"/>
    <w:rsid w:val="009A2035"/>
    <w:rsid w:val="009A3276"/>
    <w:rsid w:val="009A4B7A"/>
    <w:rsid w:val="009A74E0"/>
    <w:rsid w:val="009A7D8F"/>
    <w:rsid w:val="009B0FEC"/>
    <w:rsid w:val="009B2189"/>
    <w:rsid w:val="009B2682"/>
    <w:rsid w:val="009B3E29"/>
    <w:rsid w:val="009B667F"/>
    <w:rsid w:val="009B70DA"/>
    <w:rsid w:val="009B7A38"/>
    <w:rsid w:val="009C2485"/>
    <w:rsid w:val="009C320C"/>
    <w:rsid w:val="009C35A9"/>
    <w:rsid w:val="009C4766"/>
    <w:rsid w:val="009C4A3B"/>
    <w:rsid w:val="009C6220"/>
    <w:rsid w:val="009C7969"/>
    <w:rsid w:val="009C7CE5"/>
    <w:rsid w:val="009D0A4F"/>
    <w:rsid w:val="009D2D2A"/>
    <w:rsid w:val="009D5962"/>
    <w:rsid w:val="009D6305"/>
    <w:rsid w:val="009E0280"/>
    <w:rsid w:val="009E240F"/>
    <w:rsid w:val="009E26D8"/>
    <w:rsid w:val="009E5196"/>
    <w:rsid w:val="009E6079"/>
    <w:rsid w:val="009F16A9"/>
    <w:rsid w:val="009F3C1D"/>
    <w:rsid w:val="009F6F58"/>
    <w:rsid w:val="00A00DE0"/>
    <w:rsid w:val="00A01385"/>
    <w:rsid w:val="00A02830"/>
    <w:rsid w:val="00A06BD9"/>
    <w:rsid w:val="00A07DF6"/>
    <w:rsid w:val="00A103D1"/>
    <w:rsid w:val="00A11AE1"/>
    <w:rsid w:val="00A11AE3"/>
    <w:rsid w:val="00A1389B"/>
    <w:rsid w:val="00A13A16"/>
    <w:rsid w:val="00A13CF3"/>
    <w:rsid w:val="00A14868"/>
    <w:rsid w:val="00A16592"/>
    <w:rsid w:val="00A16F92"/>
    <w:rsid w:val="00A20BA9"/>
    <w:rsid w:val="00A2107C"/>
    <w:rsid w:val="00A24090"/>
    <w:rsid w:val="00A2534E"/>
    <w:rsid w:val="00A2727E"/>
    <w:rsid w:val="00A3185B"/>
    <w:rsid w:val="00A37BED"/>
    <w:rsid w:val="00A37F6B"/>
    <w:rsid w:val="00A41922"/>
    <w:rsid w:val="00A41A76"/>
    <w:rsid w:val="00A468D5"/>
    <w:rsid w:val="00A51BC6"/>
    <w:rsid w:val="00A54CA5"/>
    <w:rsid w:val="00A57034"/>
    <w:rsid w:val="00A57811"/>
    <w:rsid w:val="00A57EAB"/>
    <w:rsid w:val="00A630AD"/>
    <w:rsid w:val="00A65C18"/>
    <w:rsid w:val="00A670C8"/>
    <w:rsid w:val="00A7172A"/>
    <w:rsid w:val="00A73D9D"/>
    <w:rsid w:val="00A748B0"/>
    <w:rsid w:val="00A7687E"/>
    <w:rsid w:val="00A81576"/>
    <w:rsid w:val="00A827AD"/>
    <w:rsid w:val="00A843AF"/>
    <w:rsid w:val="00A85E88"/>
    <w:rsid w:val="00A86921"/>
    <w:rsid w:val="00A91700"/>
    <w:rsid w:val="00A92CEE"/>
    <w:rsid w:val="00A93A04"/>
    <w:rsid w:val="00A97EB8"/>
    <w:rsid w:val="00AA02F4"/>
    <w:rsid w:val="00AA05E4"/>
    <w:rsid w:val="00AA1CE2"/>
    <w:rsid w:val="00AA238D"/>
    <w:rsid w:val="00AA2686"/>
    <w:rsid w:val="00AA3498"/>
    <w:rsid w:val="00AA4CAE"/>
    <w:rsid w:val="00AB07E1"/>
    <w:rsid w:val="00AB148C"/>
    <w:rsid w:val="00AB1F45"/>
    <w:rsid w:val="00AB33E1"/>
    <w:rsid w:val="00AB3928"/>
    <w:rsid w:val="00AC7C3F"/>
    <w:rsid w:val="00AD186F"/>
    <w:rsid w:val="00AD2EF7"/>
    <w:rsid w:val="00AD4150"/>
    <w:rsid w:val="00AD4909"/>
    <w:rsid w:val="00AE0672"/>
    <w:rsid w:val="00AE20A1"/>
    <w:rsid w:val="00AE248D"/>
    <w:rsid w:val="00AE3CA5"/>
    <w:rsid w:val="00AE4D90"/>
    <w:rsid w:val="00AE53E5"/>
    <w:rsid w:val="00AE69FF"/>
    <w:rsid w:val="00AE6EAB"/>
    <w:rsid w:val="00AE7FF8"/>
    <w:rsid w:val="00AF073A"/>
    <w:rsid w:val="00AF1F19"/>
    <w:rsid w:val="00AF23B2"/>
    <w:rsid w:val="00AF29B4"/>
    <w:rsid w:val="00B03F77"/>
    <w:rsid w:val="00B06B27"/>
    <w:rsid w:val="00B06F9D"/>
    <w:rsid w:val="00B10402"/>
    <w:rsid w:val="00B10ACA"/>
    <w:rsid w:val="00B10F2D"/>
    <w:rsid w:val="00B1551A"/>
    <w:rsid w:val="00B20BD6"/>
    <w:rsid w:val="00B23B64"/>
    <w:rsid w:val="00B247F3"/>
    <w:rsid w:val="00B25506"/>
    <w:rsid w:val="00B30747"/>
    <w:rsid w:val="00B3286E"/>
    <w:rsid w:val="00B33B27"/>
    <w:rsid w:val="00B353DB"/>
    <w:rsid w:val="00B35E2B"/>
    <w:rsid w:val="00B41648"/>
    <w:rsid w:val="00B42BAC"/>
    <w:rsid w:val="00B42E20"/>
    <w:rsid w:val="00B441EF"/>
    <w:rsid w:val="00B47BA7"/>
    <w:rsid w:val="00B541A8"/>
    <w:rsid w:val="00B56074"/>
    <w:rsid w:val="00B57AD0"/>
    <w:rsid w:val="00B6018D"/>
    <w:rsid w:val="00B6024C"/>
    <w:rsid w:val="00B61BBE"/>
    <w:rsid w:val="00B64243"/>
    <w:rsid w:val="00B71F3C"/>
    <w:rsid w:val="00B75EED"/>
    <w:rsid w:val="00B94C57"/>
    <w:rsid w:val="00B94D3B"/>
    <w:rsid w:val="00BA0293"/>
    <w:rsid w:val="00BA1521"/>
    <w:rsid w:val="00BA42A6"/>
    <w:rsid w:val="00BA6C67"/>
    <w:rsid w:val="00BB0A2B"/>
    <w:rsid w:val="00BB0F18"/>
    <w:rsid w:val="00BB35A3"/>
    <w:rsid w:val="00BB364E"/>
    <w:rsid w:val="00BB3AB0"/>
    <w:rsid w:val="00BB3F54"/>
    <w:rsid w:val="00BB4803"/>
    <w:rsid w:val="00BB55D4"/>
    <w:rsid w:val="00BB6C9B"/>
    <w:rsid w:val="00BC0908"/>
    <w:rsid w:val="00BC22C6"/>
    <w:rsid w:val="00BC34CE"/>
    <w:rsid w:val="00BC68E9"/>
    <w:rsid w:val="00BC78C9"/>
    <w:rsid w:val="00BD16A4"/>
    <w:rsid w:val="00BD2C47"/>
    <w:rsid w:val="00BD37F1"/>
    <w:rsid w:val="00BD3814"/>
    <w:rsid w:val="00BD6972"/>
    <w:rsid w:val="00BD7166"/>
    <w:rsid w:val="00BE0A5B"/>
    <w:rsid w:val="00BE0D38"/>
    <w:rsid w:val="00BE3F95"/>
    <w:rsid w:val="00BE4244"/>
    <w:rsid w:val="00BF0E60"/>
    <w:rsid w:val="00BF32C4"/>
    <w:rsid w:val="00BF6025"/>
    <w:rsid w:val="00BF63E5"/>
    <w:rsid w:val="00C00734"/>
    <w:rsid w:val="00C01504"/>
    <w:rsid w:val="00C022CB"/>
    <w:rsid w:val="00C03622"/>
    <w:rsid w:val="00C0363D"/>
    <w:rsid w:val="00C07682"/>
    <w:rsid w:val="00C10E66"/>
    <w:rsid w:val="00C12CCA"/>
    <w:rsid w:val="00C13C4A"/>
    <w:rsid w:val="00C20BF8"/>
    <w:rsid w:val="00C26CF3"/>
    <w:rsid w:val="00C32CC3"/>
    <w:rsid w:val="00C335FC"/>
    <w:rsid w:val="00C33732"/>
    <w:rsid w:val="00C3507E"/>
    <w:rsid w:val="00C35E7A"/>
    <w:rsid w:val="00C41B8B"/>
    <w:rsid w:val="00C42D45"/>
    <w:rsid w:val="00C4308C"/>
    <w:rsid w:val="00C452EF"/>
    <w:rsid w:val="00C456E2"/>
    <w:rsid w:val="00C460ED"/>
    <w:rsid w:val="00C46856"/>
    <w:rsid w:val="00C50662"/>
    <w:rsid w:val="00C539A9"/>
    <w:rsid w:val="00C558AB"/>
    <w:rsid w:val="00C566E3"/>
    <w:rsid w:val="00C56D41"/>
    <w:rsid w:val="00C56D84"/>
    <w:rsid w:val="00C578A3"/>
    <w:rsid w:val="00C613DF"/>
    <w:rsid w:val="00C642FA"/>
    <w:rsid w:val="00C65550"/>
    <w:rsid w:val="00C65B02"/>
    <w:rsid w:val="00C66FC9"/>
    <w:rsid w:val="00C67B50"/>
    <w:rsid w:val="00C70708"/>
    <w:rsid w:val="00C72F5E"/>
    <w:rsid w:val="00C7419D"/>
    <w:rsid w:val="00C7730B"/>
    <w:rsid w:val="00C773FD"/>
    <w:rsid w:val="00C80369"/>
    <w:rsid w:val="00C8046C"/>
    <w:rsid w:val="00C829FD"/>
    <w:rsid w:val="00C83088"/>
    <w:rsid w:val="00C85D66"/>
    <w:rsid w:val="00C867AD"/>
    <w:rsid w:val="00C86DB8"/>
    <w:rsid w:val="00C87384"/>
    <w:rsid w:val="00C902F9"/>
    <w:rsid w:val="00C90A43"/>
    <w:rsid w:val="00C9219A"/>
    <w:rsid w:val="00C92E42"/>
    <w:rsid w:val="00C966AA"/>
    <w:rsid w:val="00CA115A"/>
    <w:rsid w:val="00CA2A9E"/>
    <w:rsid w:val="00CA3F91"/>
    <w:rsid w:val="00CA5600"/>
    <w:rsid w:val="00CA6110"/>
    <w:rsid w:val="00CA63A0"/>
    <w:rsid w:val="00CA7ABB"/>
    <w:rsid w:val="00CA7AEC"/>
    <w:rsid w:val="00CB0C7E"/>
    <w:rsid w:val="00CB3A2D"/>
    <w:rsid w:val="00CB4265"/>
    <w:rsid w:val="00CB5C6F"/>
    <w:rsid w:val="00CB65FF"/>
    <w:rsid w:val="00CB7858"/>
    <w:rsid w:val="00CC02AD"/>
    <w:rsid w:val="00CC35D5"/>
    <w:rsid w:val="00CC589C"/>
    <w:rsid w:val="00CC7AAD"/>
    <w:rsid w:val="00CD498F"/>
    <w:rsid w:val="00CD4AEB"/>
    <w:rsid w:val="00CD7AEE"/>
    <w:rsid w:val="00CE1C03"/>
    <w:rsid w:val="00CE3F1D"/>
    <w:rsid w:val="00CE4E5C"/>
    <w:rsid w:val="00CF02F6"/>
    <w:rsid w:val="00CF5F42"/>
    <w:rsid w:val="00CF5F4D"/>
    <w:rsid w:val="00CF6F51"/>
    <w:rsid w:val="00D00F6A"/>
    <w:rsid w:val="00D01491"/>
    <w:rsid w:val="00D014BC"/>
    <w:rsid w:val="00D07880"/>
    <w:rsid w:val="00D10C7D"/>
    <w:rsid w:val="00D1430B"/>
    <w:rsid w:val="00D14C00"/>
    <w:rsid w:val="00D14F42"/>
    <w:rsid w:val="00D15883"/>
    <w:rsid w:val="00D17643"/>
    <w:rsid w:val="00D22D9B"/>
    <w:rsid w:val="00D23634"/>
    <w:rsid w:val="00D24C40"/>
    <w:rsid w:val="00D30EC8"/>
    <w:rsid w:val="00D31201"/>
    <w:rsid w:val="00D33D4D"/>
    <w:rsid w:val="00D36B21"/>
    <w:rsid w:val="00D37E78"/>
    <w:rsid w:val="00D40DCB"/>
    <w:rsid w:val="00D40EAE"/>
    <w:rsid w:val="00D43D46"/>
    <w:rsid w:val="00D472D4"/>
    <w:rsid w:val="00D51B5B"/>
    <w:rsid w:val="00D53080"/>
    <w:rsid w:val="00D5447C"/>
    <w:rsid w:val="00D5706D"/>
    <w:rsid w:val="00D615CD"/>
    <w:rsid w:val="00D62144"/>
    <w:rsid w:val="00D66F6D"/>
    <w:rsid w:val="00D70D01"/>
    <w:rsid w:val="00D70E1F"/>
    <w:rsid w:val="00D71159"/>
    <w:rsid w:val="00D71CAD"/>
    <w:rsid w:val="00D7279D"/>
    <w:rsid w:val="00D750D5"/>
    <w:rsid w:val="00D7600D"/>
    <w:rsid w:val="00D76BFB"/>
    <w:rsid w:val="00D7797E"/>
    <w:rsid w:val="00D80883"/>
    <w:rsid w:val="00D812F6"/>
    <w:rsid w:val="00D825AC"/>
    <w:rsid w:val="00D82ECC"/>
    <w:rsid w:val="00D87F2E"/>
    <w:rsid w:val="00D92919"/>
    <w:rsid w:val="00D92ABD"/>
    <w:rsid w:val="00D9670C"/>
    <w:rsid w:val="00D97C4A"/>
    <w:rsid w:val="00DA0737"/>
    <w:rsid w:val="00DA108F"/>
    <w:rsid w:val="00DA2409"/>
    <w:rsid w:val="00DA4060"/>
    <w:rsid w:val="00DA56B6"/>
    <w:rsid w:val="00DA6FA3"/>
    <w:rsid w:val="00DB1CAA"/>
    <w:rsid w:val="00DB219C"/>
    <w:rsid w:val="00DB3A24"/>
    <w:rsid w:val="00DB5758"/>
    <w:rsid w:val="00DC2360"/>
    <w:rsid w:val="00DC3A52"/>
    <w:rsid w:val="00DC4317"/>
    <w:rsid w:val="00DC436C"/>
    <w:rsid w:val="00DC4845"/>
    <w:rsid w:val="00DC5B96"/>
    <w:rsid w:val="00DC738A"/>
    <w:rsid w:val="00DD165A"/>
    <w:rsid w:val="00DD2A87"/>
    <w:rsid w:val="00DD556D"/>
    <w:rsid w:val="00DD7721"/>
    <w:rsid w:val="00DE144E"/>
    <w:rsid w:val="00DE2312"/>
    <w:rsid w:val="00DE25F0"/>
    <w:rsid w:val="00DE2764"/>
    <w:rsid w:val="00DE2F8F"/>
    <w:rsid w:val="00DE398C"/>
    <w:rsid w:val="00DE6D17"/>
    <w:rsid w:val="00DF4E81"/>
    <w:rsid w:val="00DF638D"/>
    <w:rsid w:val="00DF71BE"/>
    <w:rsid w:val="00E01B01"/>
    <w:rsid w:val="00E0481A"/>
    <w:rsid w:val="00E06002"/>
    <w:rsid w:val="00E07019"/>
    <w:rsid w:val="00E114D9"/>
    <w:rsid w:val="00E1315E"/>
    <w:rsid w:val="00E15882"/>
    <w:rsid w:val="00E16910"/>
    <w:rsid w:val="00E21492"/>
    <w:rsid w:val="00E22D75"/>
    <w:rsid w:val="00E22D77"/>
    <w:rsid w:val="00E26EA9"/>
    <w:rsid w:val="00E31CC4"/>
    <w:rsid w:val="00E323BF"/>
    <w:rsid w:val="00E3284B"/>
    <w:rsid w:val="00E365DF"/>
    <w:rsid w:val="00E373C9"/>
    <w:rsid w:val="00E41B6D"/>
    <w:rsid w:val="00E42434"/>
    <w:rsid w:val="00E431E2"/>
    <w:rsid w:val="00E4332A"/>
    <w:rsid w:val="00E44C09"/>
    <w:rsid w:val="00E454AB"/>
    <w:rsid w:val="00E4635B"/>
    <w:rsid w:val="00E46A0C"/>
    <w:rsid w:val="00E4718A"/>
    <w:rsid w:val="00E502B2"/>
    <w:rsid w:val="00E50A20"/>
    <w:rsid w:val="00E51A0B"/>
    <w:rsid w:val="00E52526"/>
    <w:rsid w:val="00E5409B"/>
    <w:rsid w:val="00E542BD"/>
    <w:rsid w:val="00E55CF9"/>
    <w:rsid w:val="00E56C93"/>
    <w:rsid w:val="00E60FD7"/>
    <w:rsid w:val="00E62D8A"/>
    <w:rsid w:val="00E63592"/>
    <w:rsid w:val="00E667C0"/>
    <w:rsid w:val="00E66F8D"/>
    <w:rsid w:val="00E73F79"/>
    <w:rsid w:val="00E74C16"/>
    <w:rsid w:val="00E77268"/>
    <w:rsid w:val="00E7735D"/>
    <w:rsid w:val="00E777F1"/>
    <w:rsid w:val="00E81853"/>
    <w:rsid w:val="00E8453C"/>
    <w:rsid w:val="00E86E8F"/>
    <w:rsid w:val="00E923C1"/>
    <w:rsid w:val="00E93BF7"/>
    <w:rsid w:val="00E93DBF"/>
    <w:rsid w:val="00E94071"/>
    <w:rsid w:val="00E95812"/>
    <w:rsid w:val="00E963BB"/>
    <w:rsid w:val="00E97E2D"/>
    <w:rsid w:val="00EA08BD"/>
    <w:rsid w:val="00EA25A5"/>
    <w:rsid w:val="00EB15B4"/>
    <w:rsid w:val="00EB3004"/>
    <w:rsid w:val="00EB63C6"/>
    <w:rsid w:val="00EC1470"/>
    <w:rsid w:val="00EC2622"/>
    <w:rsid w:val="00EC27E3"/>
    <w:rsid w:val="00EC4D36"/>
    <w:rsid w:val="00EC5620"/>
    <w:rsid w:val="00EC729E"/>
    <w:rsid w:val="00ED2F2D"/>
    <w:rsid w:val="00ED39E6"/>
    <w:rsid w:val="00ED4793"/>
    <w:rsid w:val="00ED50AB"/>
    <w:rsid w:val="00EE1141"/>
    <w:rsid w:val="00EE3E80"/>
    <w:rsid w:val="00EE4074"/>
    <w:rsid w:val="00EE4288"/>
    <w:rsid w:val="00EE6A12"/>
    <w:rsid w:val="00EF002D"/>
    <w:rsid w:val="00EF1FDF"/>
    <w:rsid w:val="00F04002"/>
    <w:rsid w:val="00F04B66"/>
    <w:rsid w:val="00F07622"/>
    <w:rsid w:val="00F10058"/>
    <w:rsid w:val="00F10333"/>
    <w:rsid w:val="00F111DF"/>
    <w:rsid w:val="00F11AE6"/>
    <w:rsid w:val="00F13214"/>
    <w:rsid w:val="00F179EC"/>
    <w:rsid w:val="00F22396"/>
    <w:rsid w:val="00F22C11"/>
    <w:rsid w:val="00F236CB"/>
    <w:rsid w:val="00F23FF9"/>
    <w:rsid w:val="00F24E91"/>
    <w:rsid w:val="00F30D85"/>
    <w:rsid w:val="00F31A6D"/>
    <w:rsid w:val="00F320D7"/>
    <w:rsid w:val="00F34FCD"/>
    <w:rsid w:val="00F3507A"/>
    <w:rsid w:val="00F3641E"/>
    <w:rsid w:val="00F37EB3"/>
    <w:rsid w:val="00F4089C"/>
    <w:rsid w:val="00F40D89"/>
    <w:rsid w:val="00F421C1"/>
    <w:rsid w:val="00F42BA2"/>
    <w:rsid w:val="00F45DBB"/>
    <w:rsid w:val="00F47698"/>
    <w:rsid w:val="00F5158A"/>
    <w:rsid w:val="00F528D6"/>
    <w:rsid w:val="00F6407A"/>
    <w:rsid w:val="00F67514"/>
    <w:rsid w:val="00F67E93"/>
    <w:rsid w:val="00F70BD8"/>
    <w:rsid w:val="00F721A5"/>
    <w:rsid w:val="00F7433D"/>
    <w:rsid w:val="00F7537D"/>
    <w:rsid w:val="00F76BBF"/>
    <w:rsid w:val="00F80140"/>
    <w:rsid w:val="00F806C9"/>
    <w:rsid w:val="00F83A8C"/>
    <w:rsid w:val="00F8469D"/>
    <w:rsid w:val="00F84B88"/>
    <w:rsid w:val="00F87CBE"/>
    <w:rsid w:val="00F915D2"/>
    <w:rsid w:val="00F931CC"/>
    <w:rsid w:val="00F95D6C"/>
    <w:rsid w:val="00F965F7"/>
    <w:rsid w:val="00F9694C"/>
    <w:rsid w:val="00FA1DD2"/>
    <w:rsid w:val="00FA2437"/>
    <w:rsid w:val="00FA2915"/>
    <w:rsid w:val="00FA46A2"/>
    <w:rsid w:val="00FA5426"/>
    <w:rsid w:val="00FA5D57"/>
    <w:rsid w:val="00FB1EA0"/>
    <w:rsid w:val="00FB2006"/>
    <w:rsid w:val="00FB273D"/>
    <w:rsid w:val="00FB444B"/>
    <w:rsid w:val="00FB4D0D"/>
    <w:rsid w:val="00FB7CD5"/>
    <w:rsid w:val="00FC6239"/>
    <w:rsid w:val="00FC70E9"/>
    <w:rsid w:val="00FC7710"/>
    <w:rsid w:val="00FC78EF"/>
    <w:rsid w:val="00FD1AF1"/>
    <w:rsid w:val="00FD1F99"/>
    <w:rsid w:val="00FD293F"/>
    <w:rsid w:val="00FD6380"/>
    <w:rsid w:val="00FD74D9"/>
    <w:rsid w:val="00FE04BE"/>
    <w:rsid w:val="00FE04DD"/>
    <w:rsid w:val="00FE0A5F"/>
    <w:rsid w:val="00FE0BA6"/>
    <w:rsid w:val="00FE18B3"/>
    <w:rsid w:val="00FE44B2"/>
    <w:rsid w:val="00FE4C10"/>
    <w:rsid w:val="00FE5716"/>
    <w:rsid w:val="00FF11B4"/>
    <w:rsid w:val="00FF2B41"/>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8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E68D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813A66"/>
    <w:rPr>
      <w:color w:val="0000FF"/>
      <w:u w:val="single"/>
    </w:rPr>
  </w:style>
  <w:style w:type="paragraph" w:styleId="BalloonText">
    <w:name w:val="Balloon Text"/>
    <w:basedOn w:val="Normal"/>
    <w:link w:val="BalloonTextChar"/>
    <w:rsid w:val="00673FF9"/>
    <w:rPr>
      <w:rFonts w:ascii="Tahoma" w:hAnsi="Tahoma" w:cs="Tahoma"/>
      <w:sz w:val="16"/>
      <w:szCs w:val="16"/>
    </w:rPr>
  </w:style>
  <w:style w:type="character" w:customStyle="1" w:styleId="BalloonTextChar">
    <w:name w:val="Balloon Text Char"/>
    <w:basedOn w:val="DefaultParagraphFont"/>
    <w:link w:val="BalloonText"/>
    <w:rsid w:val="00673FF9"/>
    <w:rPr>
      <w:rFonts w:ascii="Tahoma" w:hAnsi="Tahoma" w:cs="Tahoma"/>
      <w:sz w:val="16"/>
      <w:szCs w:val="16"/>
    </w:rPr>
  </w:style>
  <w:style w:type="paragraph" w:styleId="Header">
    <w:name w:val="header"/>
    <w:basedOn w:val="Normal"/>
    <w:link w:val="HeaderChar"/>
    <w:rsid w:val="007A4329"/>
    <w:pPr>
      <w:tabs>
        <w:tab w:val="center" w:pos="4680"/>
        <w:tab w:val="right" w:pos="9360"/>
      </w:tabs>
    </w:pPr>
  </w:style>
  <w:style w:type="character" w:customStyle="1" w:styleId="HeaderChar">
    <w:name w:val="Header Char"/>
    <w:basedOn w:val="DefaultParagraphFont"/>
    <w:link w:val="Header"/>
    <w:rsid w:val="007A4329"/>
    <w:rPr>
      <w:rFonts w:ascii="Verdana" w:hAnsi="Verdana"/>
    </w:rPr>
  </w:style>
  <w:style w:type="paragraph" w:styleId="Footer">
    <w:name w:val="footer"/>
    <w:basedOn w:val="Normal"/>
    <w:link w:val="FooterChar"/>
    <w:uiPriority w:val="99"/>
    <w:rsid w:val="007A4329"/>
    <w:pPr>
      <w:tabs>
        <w:tab w:val="center" w:pos="4680"/>
        <w:tab w:val="right" w:pos="9360"/>
      </w:tabs>
    </w:pPr>
  </w:style>
  <w:style w:type="character" w:customStyle="1" w:styleId="FooterChar">
    <w:name w:val="Footer Char"/>
    <w:basedOn w:val="DefaultParagraphFont"/>
    <w:link w:val="Footer"/>
    <w:uiPriority w:val="99"/>
    <w:rsid w:val="007A4329"/>
    <w:rPr>
      <w:rFonts w:ascii="Verdana" w:hAnsi="Verdana"/>
    </w:rPr>
  </w:style>
  <w:style w:type="paragraph" w:styleId="ListParagraph">
    <w:name w:val="List Paragraph"/>
    <w:basedOn w:val="Normal"/>
    <w:uiPriority w:val="34"/>
    <w:qFormat/>
    <w:rsid w:val="00527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00656">
      <w:bodyDiv w:val="1"/>
      <w:marLeft w:val="0"/>
      <w:marRight w:val="0"/>
      <w:marTop w:val="0"/>
      <w:marBottom w:val="0"/>
      <w:divBdr>
        <w:top w:val="none" w:sz="0" w:space="0" w:color="auto"/>
        <w:left w:val="none" w:sz="0" w:space="0" w:color="auto"/>
        <w:bottom w:val="none" w:sz="0" w:space="0" w:color="auto"/>
        <w:right w:val="none" w:sz="0" w:space="0" w:color="auto"/>
      </w:divBdr>
    </w:div>
    <w:div w:id="1381368129">
      <w:bodyDiv w:val="1"/>
      <w:marLeft w:val="0"/>
      <w:marRight w:val="0"/>
      <w:marTop w:val="0"/>
      <w:marBottom w:val="0"/>
      <w:divBdr>
        <w:top w:val="none" w:sz="0" w:space="0" w:color="auto"/>
        <w:left w:val="none" w:sz="0" w:space="0" w:color="auto"/>
        <w:bottom w:val="none" w:sz="0" w:space="0" w:color="auto"/>
        <w:right w:val="none" w:sz="0" w:space="0" w:color="auto"/>
      </w:divBdr>
    </w:div>
    <w:div w:id="19181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senate/facultyhandbook/section6.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2.odu.edu/educ/roverbau/Bloom/blooms_taxonom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Process System</vt:lpstr>
    </vt:vector>
  </TitlesOfParts>
  <Company>East Tennessee State University</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Process System</dc:title>
  <dc:creator>Marsh Grube</dc:creator>
  <cp:lastModifiedBy>admin</cp:lastModifiedBy>
  <cp:revision>2</cp:revision>
  <cp:lastPrinted>2012-09-26T13:33:00Z</cp:lastPrinted>
  <dcterms:created xsi:type="dcterms:W3CDTF">2012-11-27T13:57:00Z</dcterms:created>
  <dcterms:modified xsi:type="dcterms:W3CDTF">2012-11-27T13:57:00Z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